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17AFD" w14:textId="77777777" w:rsidR="00000123" w:rsidRPr="00E960C9" w:rsidRDefault="00000123" w:rsidP="004278CE">
      <w:pPr>
        <w:spacing w:before="120" w:after="120"/>
        <w:jc w:val="center"/>
        <w:rPr>
          <w:b/>
          <w:sz w:val="22"/>
          <w:szCs w:val="22"/>
        </w:rPr>
      </w:pPr>
      <w:r w:rsidRPr="00E960C9">
        <w:rPr>
          <w:b/>
          <w:sz w:val="22"/>
          <w:szCs w:val="22"/>
        </w:rPr>
        <w:t>National Report of Georgia 2020</w:t>
      </w:r>
    </w:p>
    <w:p w14:paraId="6FD4A477" w14:textId="40F51E3B" w:rsidR="00777C2F" w:rsidRPr="00E960C9" w:rsidRDefault="00000123" w:rsidP="004278CE">
      <w:pPr>
        <w:spacing w:before="120" w:after="120"/>
        <w:jc w:val="center"/>
        <w:rPr>
          <w:b/>
          <w:sz w:val="22"/>
          <w:szCs w:val="22"/>
        </w:rPr>
      </w:pPr>
      <w:r w:rsidRPr="00E960C9">
        <w:rPr>
          <w:b/>
          <w:sz w:val="22"/>
          <w:szCs w:val="22"/>
        </w:rPr>
        <w:t>Third Cycle of Universal Periodic Review</w:t>
      </w:r>
    </w:p>
    <w:p w14:paraId="4BB65BB8" w14:textId="77777777" w:rsidR="00630554" w:rsidRPr="00E960C9" w:rsidRDefault="00630554" w:rsidP="00904117">
      <w:pPr>
        <w:spacing w:before="120" w:after="120"/>
        <w:jc w:val="both"/>
        <w:rPr>
          <w:b/>
          <w:sz w:val="22"/>
          <w:szCs w:val="22"/>
        </w:rPr>
      </w:pPr>
    </w:p>
    <w:sdt>
      <w:sdtPr>
        <w:rPr>
          <w:rFonts w:ascii="Times New Roman" w:eastAsiaTheme="minorHAnsi" w:hAnsi="Times New Roman" w:cs="Times New Roman"/>
          <w:color w:val="auto"/>
          <w:sz w:val="22"/>
          <w:szCs w:val="22"/>
        </w:rPr>
        <w:id w:val="-1946986433"/>
        <w:docPartObj>
          <w:docPartGallery w:val="Table of Contents"/>
          <w:docPartUnique/>
        </w:docPartObj>
      </w:sdtPr>
      <w:sdtEndPr>
        <w:rPr>
          <w:rFonts w:eastAsia="Times New Roman"/>
          <w:b/>
          <w:bCs/>
        </w:rPr>
      </w:sdtEndPr>
      <w:sdtContent>
        <w:p w14:paraId="2DE990AA" w14:textId="190E6E23" w:rsidR="00630554" w:rsidRPr="00E960C9" w:rsidRDefault="00000123" w:rsidP="004278CE">
          <w:pPr>
            <w:pStyle w:val="TOCHeading"/>
            <w:pageBreakBefore/>
            <w:spacing w:before="120" w:after="120"/>
            <w:jc w:val="both"/>
            <w:rPr>
              <w:rFonts w:ascii="Times New Roman" w:hAnsi="Times New Roman" w:cs="Times New Roman"/>
              <w:sz w:val="22"/>
              <w:szCs w:val="22"/>
            </w:rPr>
          </w:pPr>
          <w:r w:rsidRPr="00E960C9">
            <w:rPr>
              <w:rFonts w:ascii="Times New Roman" w:hAnsi="Times New Roman" w:cs="Times New Roman"/>
              <w:sz w:val="22"/>
              <w:szCs w:val="22"/>
            </w:rPr>
            <w:t>Contents</w:t>
          </w:r>
        </w:p>
        <w:p w14:paraId="0333B094" w14:textId="2F694B73" w:rsidR="00DF3E41" w:rsidRDefault="00630554">
          <w:pPr>
            <w:pStyle w:val="TOC2"/>
            <w:tabs>
              <w:tab w:val="right" w:leader="dot" w:pos="9350"/>
            </w:tabs>
            <w:rPr>
              <w:rFonts w:asciiTheme="minorHAnsi" w:eastAsiaTheme="minorEastAsia" w:hAnsiTheme="minorHAnsi" w:cstheme="minorBidi"/>
              <w:noProof/>
            </w:rPr>
          </w:pPr>
          <w:r w:rsidRPr="00E960C9">
            <w:rPr>
              <w:sz w:val="22"/>
              <w:szCs w:val="22"/>
            </w:rPr>
            <w:fldChar w:fldCharType="begin"/>
          </w:r>
          <w:r w:rsidRPr="00E960C9">
            <w:rPr>
              <w:sz w:val="22"/>
              <w:szCs w:val="22"/>
            </w:rPr>
            <w:instrText xml:space="preserve"> TOC \o "1-3" \h \z \u </w:instrText>
          </w:r>
          <w:r w:rsidRPr="00E960C9">
            <w:rPr>
              <w:sz w:val="22"/>
              <w:szCs w:val="22"/>
            </w:rPr>
            <w:fldChar w:fldCharType="separate"/>
          </w:r>
          <w:hyperlink w:anchor="_Toc51302027" w:history="1">
            <w:r w:rsidR="00DF3E41" w:rsidRPr="00345E3F">
              <w:rPr>
                <w:rStyle w:val="Hyperlink"/>
                <w:rFonts w:eastAsiaTheme="majorEastAsia"/>
                <w:noProof/>
              </w:rPr>
              <w:t>Abbreviations</w:t>
            </w:r>
            <w:r w:rsidR="00DF3E41">
              <w:rPr>
                <w:noProof/>
                <w:webHidden/>
              </w:rPr>
              <w:tab/>
            </w:r>
            <w:r w:rsidR="00DF3E41">
              <w:rPr>
                <w:noProof/>
                <w:webHidden/>
              </w:rPr>
              <w:fldChar w:fldCharType="begin"/>
            </w:r>
            <w:r w:rsidR="00DF3E41">
              <w:rPr>
                <w:noProof/>
                <w:webHidden/>
              </w:rPr>
              <w:instrText xml:space="preserve"> PAGEREF _Toc51302027 \h </w:instrText>
            </w:r>
            <w:r w:rsidR="00DF3E41">
              <w:rPr>
                <w:noProof/>
                <w:webHidden/>
              </w:rPr>
            </w:r>
            <w:r w:rsidR="00DF3E41">
              <w:rPr>
                <w:noProof/>
                <w:webHidden/>
              </w:rPr>
              <w:fldChar w:fldCharType="separate"/>
            </w:r>
            <w:r w:rsidR="00DF3E41">
              <w:rPr>
                <w:noProof/>
                <w:webHidden/>
              </w:rPr>
              <w:t>3</w:t>
            </w:r>
            <w:r w:rsidR="00DF3E41">
              <w:rPr>
                <w:noProof/>
                <w:webHidden/>
              </w:rPr>
              <w:fldChar w:fldCharType="end"/>
            </w:r>
          </w:hyperlink>
        </w:p>
        <w:p w14:paraId="7109D61C" w14:textId="0FA097AE" w:rsidR="00DF3E41" w:rsidRDefault="000B1374">
          <w:pPr>
            <w:pStyle w:val="TOC1"/>
            <w:tabs>
              <w:tab w:val="left" w:pos="480"/>
              <w:tab w:val="right" w:leader="dot" w:pos="9350"/>
            </w:tabs>
            <w:rPr>
              <w:rFonts w:asciiTheme="minorHAnsi" w:eastAsiaTheme="minorEastAsia" w:hAnsiTheme="minorHAnsi" w:cstheme="minorBidi"/>
              <w:noProof/>
            </w:rPr>
          </w:pPr>
          <w:hyperlink w:anchor="_Toc51302028" w:history="1">
            <w:r w:rsidR="00DF3E41" w:rsidRPr="00345E3F">
              <w:rPr>
                <w:rStyle w:val="Hyperlink"/>
                <w:rFonts w:eastAsiaTheme="majorEastAsia"/>
                <w:noProof/>
              </w:rPr>
              <w:t>I.</w:t>
            </w:r>
            <w:r w:rsidR="00DF3E41">
              <w:rPr>
                <w:rFonts w:asciiTheme="minorHAnsi" w:eastAsiaTheme="minorEastAsia" w:hAnsiTheme="minorHAnsi" w:cstheme="minorBidi"/>
                <w:noProof/>
              </w:rPr>
              <w:tab/>
            </w:r>
            <w:r w:rsidR="00DF3E41" w:rsidRPr="00345E3F">
              <w:rPr>
                <w:rStyle w:val="Hyperlink"/>
                <w:rFonts w:eastAsiaTheme="majorEastAsia"/>
                <w:noProof/>
              </w:rPr>
              <w:t>Introduction</w:t>
            </w:r>
            <w:r w:rsidR="00DF3E41">
              <w:rPr>
                <w:noProof/>
                <w:webHidden/>
              </w:rPr>
              <w:tab/>
            </w:r>
            <w:r w:rsidR="00DF3E41">
              <w:rPr>
                <w:noProof/>
                <w:webHidden/>
              </w:rPr>
              <w:fldChar w:fldCharType="begin"/>
            </w:r>
            <w:r w:rsidR="00DF3E41">
              <w:rPr>
                <w:noProof/>
                <w:webHidden/>
              </w:rPr>
              <w:instrText xml:space="preserve"> PAGEREF _Toc51302028 \h </w:instrText>
            </w:r>
            <w:r w:rsidR="00DF3E41">
              <w:rPr>
                <w:noProof/>
                <w:webHidden/>
              </w:rPr>
            </w:r>
            <w:r w:rsidR="00DF3E41">
              <w:rPr>
                <w:noProof/>
                <w:webHidden/>
              </w:rPr>
              <w:fldChar w:fldCharType="separate"/>
            </w:r>
            <w:r w:rsidR="00DF3E41">
              <w:rPr>
                <w:noProof/>
                <w:webHidden/>
              </w:rPr>
              <w:t>4</w:t>
            </w:r>
            <w:r w:rsidR="00DF3E41">
              <w:rPr>
                <w:noProof/>
                <w:webHidden/>
              </w:rPr>
              <w:fldChar w:fldCharType="end"/>
            </w:r>
          </w:hyperlink>
        </w:p>
        <w:p w14:paraId="2167E0CB" w14:textId="69B4D59B" w:rsidR="00DF3E41" w:rsidRDefault="000B1374">
          <w:pPr>
            <w:pStyle w:val="TOC1"/>
            <w:tabs>
              <w:tab w:val="left" w:pos="480"/>
              <w:tab w:val="right" w:leader="dot" w:pos="9350"/>
            </w:tabs>
            <w:rPr>
              <w:rFonts w:asciiTheme="minorHAnsi" w:eastAsiaTheme="minorEastAsia" w:hAnsiTheme="minorHAnsi" w:cstheme="minorBidi"/>
              <w:noProof/>
            </w:rPr>
          </w:pPr>
          <w:hyperlink w:anchor="_Toc51302029" w:history="1">
            <w:r w:rsidR="00DF3E41" w:rsidRPr="00345E3F">
              <w:rPr>
                <w:rStyle w:val="Hyperlink"/>
                <w:rFonts w:eastAsiaTheme="majorEastAsia"/>
                <w:noProof/>
              </w:rPr>
              <w:t>II.</w:t>
            </w:r>
            <w:r w:rsidR="00DF3E41">
              <w:rPr>
                <w:rFonts w:asciiTheme="minorHAnsi" w:eastAsiaTheme="minorEastAsia" w:hAnsiTheme="minorHAnsi" w:cstheme="minorBidi"/>
                <w:noProof/>
              </w:rPr>
              <w:tab/>
            </w:r>
            <w:r w:rsidR="00DF3E41" w:rsidRPr="00345E3F">
              <w:rPr>
                <w:rStyle w:val="Hyperlink"/>
                <w:rFonts w:eastAsiaTheme="majorEastAsia"/>
                <w:noProof/>
              </w:rPr>
              <w:t>Human Rights Protection – Achievements and Challenges</w:t>
            </w:r>
            <w:r w:rsidR="00DF3E41">
              <w:rPr>
                <w:noProof/>
                <w:webHidden/>
              </w:rPr>
              <w:tab/>
            </w:r>
            <w:r w:rsidR="00DF3E41">
              <w:rPr>
                <w:noProof/>
                <w:webHidden/>
              </w:rPr>
              <w:fldChar w:fldCharType="begin"/>
            </w:r>
            <w:r w:rsidR="00DF3E41">
              <w:rPr>
                <w:noProof/>
                <w:webHidden/>
              </w:rPr>
              <w:instrText xml:space="preserve"> PAGEREF _Toc51302029 \h </w:instrText>
            </w:r>
            <w:r w:rsidR="00DF3E41">
              <w:rPr>
                <w:noProof/>
                <w:webHidden/>
              </w:rPr>
            </w:r>
            <w:r w:rsidR="00DF3E41">
              <w:rPr>
                <w:noProof/>
                <w:webHidden/>
              </w:rPr>
              <w:fldChar w:fldCharType="separate"/>
            </w:r>
            <w:r w:rsidR="00DF3E41">
              <w:rPr>
                <w:noProof/>
                <w:webHidden/>
              </w:rPr>
              <w:t>4</w:t>
            </w:r>
            <w:r w:rsidR="00DF3E41">
              <w:rPr>
                <w:noProof/>
                <w:webHidden/>
              </w:rPr>
              <w:fldChar w:fldCharType="end"/>
            </w:r>
          </w:hyperlink>
        </w:p>
        <w:p w14:paraId="29279674" w14:textId="02B1629A"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0" w:history="1">
            <w:r w:rsidR="00DF3E41" w:rsidRPr="00345E3F">
              <w:rPr>
                <w:rStyle w:val="Hyperlink"/>
                <w:rFonts w:eastAsiaTheme="majorEastAsia"/>
                <w:noProof/>
              </w:rPr>
              <w:t>a)</w:t>
            </w:r>
            <w:r w:rsidR="00DF3E41">
              <w:rPr>
                <w:rFonts w:asciiTheme="minorHAnsi" w:eastAsiaTheme="minorEastAsia" w:hAnsiTheme="minorHAnsi" w:cstheme="minorBidi"/>
                <w:noProof/>
              </w:rPr>
              <w:tab/>
            </w:r>
            <w:r w:rsidR="00DF3E41" w:rsidRPr="00345E3F">
              <w:rPr>
                <w:rStyle w:val="Hyperlink"/>
                <w:rFonts w:eastAsiaTheme="majorEastAsia"/>
                <w:noProof/>
              </w:rPr>
              <w:t>Major institutional and legislative reforms</w:t>
            </w:r>
            <w:r w:rsidR="00DF3E41">
              <w:rPr>
                <w:noProof/>
                <w:webHidden/>
              </w:rPr>
              <w:tab/>
            </w:r>
            <w:r w:rsidR="00DF3E41">
              <w:rPr>
                <w:noProof/>
                <w:webHidden/>
              </w:rPr>
              <w:fldChar w:fldCharType="begin"/>
            </w:r>
            <w:r w:rsidR="00DF3E41">
              <w:rPr>
                <w:noProof/>
                <w:webHidden/>
              </w:rPr>
              <w:instrText xml:space="preserve"> PAGEREF _Toc51302030 \h </w:instrText>
            </w:r>
            <w:r w:rsidR="00DF3E41">
              <w:rPr>
                <w:noProof/>
                <w:webHidden/>
              </w:rPr>
            </w:r>
            <w:r w:rsidR="00DF3E41">
              <w:rPr>
                <w:noProof/>
                <w:webHidden/>
              </w:rPr>
              <w:fldChar w:fldCharType="separate"/>
            </w:r>
            <w:r w:rsidR="00DF3E41">
              <w:rPr>
                <w:noProof/>
                <w:webHidden/>
              </w:rPr>
              <w:t>4</w:t>
            </w:r>
            <w:r w:rsidR="00DF3E41">
              <w:rPr>
                <w:noProof/>
                <w:webHidden/>
              </w:rPr>
              <w:fldChar w:fldCharType="end"/>
            </w:r>
          </w:hyperlink>
        </w:p>
        <w:p w14:paraId="6EC39749" w14:textId="27890EFA"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1" w:history="1">
            <w:r w:rsidR="00DF3E41" w:rsidRPr="00345E3F">
              <w:rPr>
                <w:rStyle w:val="Hyperlink"/>
                <w:rFonts w:eastAsia="Calibri"/>
                <w:noProof/>
              </w:rPr>
              <w:t>b)</w:t>
            </w:r>
            <w:r w:rsidR="00DF3E41">
              <w:rPr>
                <w:rFonts w:asciiTheme="minorHAnsi" w:eastAsiaTheme="minorEastAsia" w:hAnsiTheme="minorHAnsi" w:cstheme="minorBidi"/>
                <w:noProof/>
              </w:rPr>
              <w:tab/>
            </w:r>
            <w:r w:rsidR="00DF3E41" w:rsidRPr="00345E3F">
              <w:rPr>
                <w:rStyle w:val="Hyperlink"/>
                <w:rFonts w:eastAsiaTheme="majorEastAsia"/>
                <w:noProof/>
              </w:rPr>
              <w:t>Human</w:t>
            </w:r>
            <w:r w:rsidR="00DF3E41" w:rsidRPr="00345E3F">
              <w:rPr>
                <w:rStyle w:val="Hyperlink"/>
                <w:rFonts w:eastAsia="Calibri"/>
                <w:noProof/>
              </w:rPr>
              <w:t xml:space="preserve"> rights situation on the occupied territories</w:t>
            </w:r>
            <w:r w:rsidR="00DF3E41">
              <w:rPr>
                <w:noProof/>
                <w:webHidden/>
              </w:rPr>
              <w:tab/>
            </w:r>
            <w:r w:rsidR="00DF3E41">
              <w:rPr>
                <w:noProof/>
                <w:webHidden/>
              </w:rPr>
              <w:fldChar w:fldCharType="begin"/>
            </w:r>
            <w:r w:rsidR="00DF3E41">
              <w:rPr>
                <w:noProof/>
                <w:webHidden/>
              </w:rPr>
              <w:instrText xml:space="preserve"> PAGEREF _Toc51302031 \h </w:instrText>
            </w:r>
            <w:r w:rsidR="00DF3E41">
              <w:rPr>
                <w:noProof/>
                <w:webHidden/>
              </w:rPr>
            </w:r>
            <w:r w:rsidR="00DF3E41">
              <w:rPr>
                <w:noProof/>
                <w:webHidden/>
              </w:rPr>
              <w:fldChar w:fldCharType="separate"/>
            </w:r>
            <w:r w:rsidR="00DF3E41">
              <w:rPr>
                <w:noProof/>
                <w:webHidden/>
              </w:rPr>
              <w:t>5</w:t>
            </w:r>
            <w:r w:rsidR="00DF3E41">
              <w:rPr>
                <w:noProof/>
                <w:webHidden/>
              </w:rPr>
              <w:fldChar w:fldCharType="end"/>
            </w:r>
          </w:hyperlink>
        </w:p>
        <w:p w14:paraId="608FBFBB" w14:textId="5A0CF08E"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2" w:history="1">
            <w:r w:rsidR="00DF3E41" w:rsidRPr="00345E3F">
              <w:rPr>
                <w:rStyle w:val="Hyperlink"/>
                <w:rFonts w:eastAsia="Calibri"/>
                <w:noProof/>
              </w:rPr>
              <w:t>c)</w:t>
            </w:r>
            <w:r w:rsidR="00DF3E41">
              <w:rPr>
                <w:rFonts w:asciiTheme="minorHAnsi" w:eastAsiaTheme="minorEastAsia" w:hAnsiTheme="minorHAnsi" w:cstheme="minorBidi"/>
                <w:noProof/>
              </w:rPr>
              <w:tab/>
            </w:r>
            <w:r w:rsidR="00DF3E41" w:rsidRPr="00345E3F">
              <w:rPr>
                <w:rStyle w:val="Hyperlink"/>
                <w:rFonts w:eastAsiaTheme="majorEastAsia"/>
                <w:noProof/>
              </w:rPr>
              <w:t>Review</w:t>
            </w:r>
            <w:r w:rsidR="00DF3E41" w:rsidRPr="00345E3F">
              <w:rPr>
                <w:rStyle w:val="Hyperlink"/>
                <w:rFonts w:eastAsia="Calibri"/>
                <w:noProof/>
              </w:rPr>
              <w:t xml:space="preserve"> of the comprehensive policy on international humanitarian law</w:t>
            </w:r>
            <w:r w:rsidR="00DF3E41">
              <w:rPr>
                <w:noProof/>
                <w:webHidden/>
              </w:rPr>
              <w:tab/>
            </w:r>
            <w:r w:rsidR="00DF3E41">
              <w:rPr>
                <w:noProof/>
                <w:webHidden/>
              </w:rPr>
              <w:fldChar w:fldCharType="begin"/>
            </w:r>
            <w:r w:rsidR="00DF3E41">
              <w:rPr>
                <w:noProof/>
                <w:webHidden/>
              </w:rPr>
              <w:instrText xml:space="preserve"> PAGEREF _Toc51302032 \h </w:instrText>
            </w:r>
            <w:r w:rsidR="00DF3E41">
              <w:rPr>
                <w:noProof/>
                <w:webHidden/>
              </w:rPr>
            </w:r>
            <w:r w:rsidR="00DF3E41">
              <w:rPr>
                <w:noProof/>
                <w:webHidden/>
              </w:rPr>
              <w:fldChar w:fldCharType="separate"/>
            </w:r>
            <w:r w:rsidR="00DF3E41">
              <w:rPr>
                <w:noProof/>
                <w:webHidden/>
              </w:rPr>
              <w:t>6</w:t>
            </w:r>
            <w:r w:rsidR="00DF3E41">
              <w:rPr>
                <w:noProof/>
                <w:webHidden/>
              </w:rPr>
              <w:fldChar w:fldCharType="end"/>
            </w:r>
          </w:hyperlink>
        </w:p>
        <w:p w14:paraId="05BB5EA6" w14:textId="331522CE"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3" w:history="1">
            <w:r w:rsidR="00DF3E41" w:rsidRPr="00345E3F">
              <w:rPr>
                <w:rStyle w:val="Hyperlink"/>
                <w:rFonts w:eastAsia="Calibri"/>
                <w:noProof/>
              </w:rPr>
              <w:t>d)</w:t>
            </w:r>
            <w:r w:rsidR="00DF3E41">
              <w:rPr>
                <w:rFonts w:asciiTheme="minorHAnsi" w:eastAsiaTheme="minorEastAsia" w:hAnsiTheme="minorHAnsi" w:cstheme="minorBidi"/>
                <w:noProof/>
              </w:rPr>
              <w:tab/>
            </w:r>
            <w:r w:rsidR="00DF3E41" w:rsidRPr="00345E3F">
              <w:rPr>
                <w:rStyle w:val="Hyperlink"/>
                <w:rFonts w:eastAsiaTheme="majorEastAsia"/>
                <w:noProof/>
              </w:rPr>
              <w:t>Review of antidiscrimination legislation</w:t>
            </w:r>
            <w:r w:rsidR="00DF3E41">
              <w:rPr>
                <w:noProof/>
                <w:webHidden/>
              </w:rPr>
              <w:tab/>
            </w:r>
            <w:r w:rsidR="00DF3E41">
              <w:rPr>
                <w:noProof/>
                <w:webHidden/>
              </w:rPr>
              <w:fldChar w:fldCharType="begin"/>
            </w:r>
            <w:r w:rsidR="00DF3E41">
              <w:rPr>
                <w:noProof/>
                <w:webHidden/>
              </w:rPr>
              <w:instrText xml:space="preserve"> PAGEREF _Toc51302033 \h </w:instrText>
            </w:r>
            <w:r w:rsidR="00DF3E41">
              <w:rPr>
                <w:noProof/>
                <w:webHidden/>
              </w:rPr>
            </w:r>
            <w:r w:rsidR="00DF3E41">
              <w:rPr>
                <w:noProof/>
                <w:webHidden/>
              </w:rPr>
              <w:fldChar w:fldCharType="separate"/>
            </w:r>
            <w:r w:rsidR="00DF3E41">
              <w:rPr>
                <w:noProof/>
                <w:webHidden/>
              </w:rPr>
              <w:t>6</w:t>
            </w:r>
            <w:r w:rsidR="00DF3E41">
              <w:rPr>
                <w:noProof/>
                <w:webHidden/>
              </w:rPr>
              <w:fldChar w:fldCharType="end"/>
            </w:r>
          </w:hyperlink>
        </w:p>
        <w:p w14:paraId="002AC77F" w14:textId="39BFD632"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4" w:history="1">
            <w:r w:rsidR="00DF3E41" w:rsidRPr="00345E3F">
              <w:rPr>
                <w:rStyle w:val="Hyperlink"/>
                <w:rFonts w:eastAsia="Calibri"/>
                <w:noProof/>
              </w:rPr>
              <w:t>e)</w:t>
            </w:r>
            <w:r w:rsidR="00DF3E41">
              <w:rPr>
                <w:rFonts w:asciiTheme="minorHAnsi" w:eastAsiaTheme="minorEastAsia" w:hAnsiTheme="minorHAnsi" w:cstheme="minorBidi"/>
                <w:noProof/>
              </w:rPr>
              <w:tab/>
            </w:r>
            <w:r w:rsidR="00DF3E41" w:rsidRPr="00345E3F">
              <w:rPr>
                <w:rStyle w:val="Hyperlink"/>
                <w:rFonts w:eastAsia="Calibri"/>
                <w:noProof/>
              </w:rPr>
              <w:t>Fight against crimes committed with discrimination/hatred motive</w:t>
            </w:r>
            <w:r w:rsidR="00DF3E41">
              <w:rPr>
                <w:noProof/>
                <w:webHidden/>
              </w:rPr>
              <w:tab/>
            </w:r>
            <w:r w:rsidR="00DF3E41">
              <w:rPr>
                <w:noProof/>
                <w:webHidden/>
              </w:rPr>
              <w:fldChar w:fldCharType="begin"/>
            </w:r>
            <w:r w:rsidR="00DF3E41">
              <w:rPr>
                <w:noProof/>
                <w:webHidden/>
              </w:rPr>
              <w:instrText xml:space="preserve"> PAGEREF _Toc51302034 \h </w:instrText>
            </w:r>
            <w:r w:rsidR="00DF3E41">
              <w:rPr>
                <w:noProof/>
                <w:webHidden/>
              </w:rPr>
            </w:r>
            <w:r w:rsidR="00DF3E41">
              <w:rPr>
                <w:noProof/>
                <w:webHidden/>
              </w:rPr>
              <w:fldChar w:fldCharType="separate"/>
            </w:r>
            <w:r w:rsidR="00DF3E41">
              <w:rPr>
                <w:noProof/>
                <w:webHidden/>
              </w:rPr>
              <w:t>7</w:t>
            </w:r>
            <w:r w:rsidR="00DF3E41">
              <w:rPr>
                <w:noProof/>
                <w:webHidden/>
              </w:rPr>
              <w:fldChar w:fldCharType="end"/>
            </w:r>
          </w:hyperlink>
        </w:p>
        <w:p w14:paraId="043407AA" w14:textId="6D0AAFC3"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5" w:history="1">
            <w:r w:rsidR="00DF3E41" w:rsidRPr="00345E3F">
              <w:rPr>
                <w:rStyle w:val="Hyperlink"/>
                <w:rFonts w:eastAsia="Calibri"/>
                <w:noProof/>
              </w:rPr>
              <w:t>f)</w:t>
            </w:r>
            <w:r w:rsidR="00DF3E41">
              <w:rPr>
                <w:rFonts w:asciiTheme="minorHAnsi" w:eastAsiaTheme="minorEastAsia" w:hAnsiTheme="minorHAnsi" w:cstheme="minorBidi"/>
                <w:noProof/>
              </w:rPr>
              <w:tab/>
            </w:r>
            <w:r w:rsidR="00DF3E41" w:rsidRPr="00345E3F">
              <w:rPr>
                <w:rStyle w:val="Hyperlink"/>
                <w:rFonts w:eastAsia="Calibri"/>
                <w:noProof/>
              </w:rPr>
              <w:t>Gender equality</w:t>
            </w:r>
            <w:r w:rsidR="00DF3E41">
              <w:rPr>
                <w:noProof/>
                <w:webHidden/>
              </w:rPr>
              <w:tab/>
            </w:r>
            <w:r w:rsidR="00DF3E41">
              <w:rPr>
                <w:noProof/>
                <w:webHidden/>
              </w:rPr>
              <w:fldChar w:fldCharType="begin"/>
            </w:r>
            <w:r w:rsidR="00DF3E41">
              <w:rPr>
                <w:noProof/>
                <w:webHidden/>
              </w:rPr>
              <w:instrText xml:space="preserve"> PAGEREF _Toc51302035 \h </w:instrText>
            </w:r>
            <w:r w:rsidR="00DF3E41">
              <w:rPr>
                <w:noProof/>
                <w:webHidden/>
              </w:rPr>
            </w:r>
            <w:r w:rsidR="00DF3E41">
              <w:rPr>
                <w:noProof/>
                <w:webHidden/>
              </w:rPr>
              <w:fldChar w:fldCharType="separate"/>
            </w:r>
            <w:r w:rsidR="00DF3E41">
              <w:rPr>
                <w:noProof/>
                <w:webHidden/>
              </w:rPr>
              <w:t>7</w:t>
            </w:r>
            <w:r w:rsidR="00DF3E41">
              <w:rPr>
                <w:noProof/>
                <w:webHidden/>
              </w:rPr>
              <w:fldChar w:fldCharType="end"/>
            </w:r>
          </w:hyperlink>
        </w:p>
        <w:p w14:paraId="5B16C4E6" w14:textId="38EC28AF"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6" w:history="1">
            <w:r w:rsidR="00DF3E41" w:rsidRPr="00345E3F">
              <w:rPr>
                <w:rStyle w:val="Hyperlink"/>
                <w:rFonts w:eastAsiaTheme="majorEastAsia"/>
                <w:noProof/>
              </w:rPr>
              <w:t>g)</w:t>
            </w:r>
            <w:r w:rsidR="00DF3E41">
              <w:rPr>
                <w:rFonts w:asciiTheme="minorHAnsi" w:eastAsiaTheme="minorEastAsia" w:hAnsiTheme="minorHAnsi" w:cstheme="minorBidi"/>
                <w:noProof/>
              </w:rPr>
              <w:tab/>
            </w:r>
            <w:r w:rsidR="00DF3E41" w:rsidRPr="00345E3F">
              <w:rPr>
                <w:rStyle w:val="Hyperlink"/>
                <w:rFonts w:eastAsia="Calibri"/>
                <w:noProof/>
              </w:rPr>
              <w:t>Elimination of violence against women and domestic violence</w:t>
            </w:r>
            <w:r w:rsidR="00DF3E41">
              <w:rPr>
                <w:noProof/>
                <w:webHidden/>
              </w:rPr>
              <w:tab/>
            </w:r>
            <w:r w:rsidR="00DF3E41">
              <w:rPr>
                <w:noProof/>
                <w:webHidden/>
              </w:rPr>
              <w:fldChar w:fldCharType="begin"/>
            </w:r>
            <w:r w:rsidR="00DF3E41">
              <w:rPr>
                <w:noProof/>
                <w:webHidden/>
              </w:rPr>
              <w:instrText xml:space="preserve"> PAGEREF _Toc51302036 \h </w:instrText>
            </w:r>
            <w:r w:rsidR="00DF3E41">
              <w:rPr>
                <w:noProof/>
                <w:webHidden/>
              </w:rPr>
            </w:r>
            <w:r w:rsidR="00DF3E41">
              <w:rPr>
                <w:noProof/>
                <w:webHidden/>
              </w:rPr>
              <w:fldChar w:fldCharType="separate"/>
            </w:r>
            <w:r w:rsidR="00DF3E41">
              <w:rPr>
                <w:noProof/>
                <w:webHidden/>
              </w:rPr>
              <w:t>8</w:t>
            </w:r>
            <w:r w:rsidR="00DF3E41">
              <w:rPr>
                <w:noProof/>
                <w:webHidden/>
              </w:rPr>
              <w:fldChar w:fldCharType="end"/>
            </w:r>
          </w:hyperlink>
        </w:p>
        <w:p w14:paraId="138C7FFD" w14:textId="1312813C"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7" w:history="1">
            <w:r w:rsidR="00DF3E41" w:rsidRPr="00345E3F">
              <w:rPr>
                <w:rStyle w:val="Hyperlink"/>
                <w:rFonts w:eastAsia="Calibri"/>
                <w:noProof/>
              </w:rPr>
              <w:t>h)</w:t>
            </w:r>
            <w:r w:rsidR="00DF3E41">
              <w:rPr>
                <w:rFonts w:asciiTheme="minorHAnsi" w:eastAsiaTheme="minorEastAsia" w:hAnsiTheme="minorHAnsi" w:cstheme="minorBidi"/>
                <w:noProof/>
              </w:rPr>
              <w:tab/>
            </w:r>
            <w:r w:rsidR="00DF3E41" w:rsidRPr="00345E3F">
              <w:rPr>
                <w:rStyle w:val="Hyperlink"/>
                <w:rFonts w:eastAsia="Calibri"/>
                <w:noProof/>
              </w:rPr>
              <w:t>Child rights</w:t>
            </w:r>
            <w:r w:rsidR="00DF3E41">
              <w:rPr>
                <w:noProof/>
                <w:webHidden/>
              </w:rPr>
              <w:tab/>
            </w:r>
            <w:r w:rsidR="00DF3E41">
              <w:rPr>
                <w:noProof/>
                <w:webHidden/>
              </w:rPr>
              <w:fldChar w:fldCharType="begin"/>
            </w:r>
            <w:r w:rsidR="00DF3E41">
              <w:rPr>
                <w:noProof/>
                <w:webHidden/>
              </w:rPr>
              <w:instrText xml:space="preserve"> PAGEREF _Toc51302037 \h </w:instrText>
            </w:r>
            <w:r w:rsidR="00DF3E41">
              <w:rPr>
                <w:noProof/>
                <w:webHidden/>
              </w:rPr>
            </w:r>
            <w:r w:rsidR="00DF3E41">
              <w:rPr>
                <w:noProof/>
                <w:webHidden/>
              </w:rPr>
              <w:fldChar w:fldCharType="separate"/>
            </w:r>
            <w:r w:rsidR="00DF3E41">
              <w:rPr>
                <w:noProof/>
                <w:webHidden/>
              </w:rPr>
              <w:t>9</w:t>
            </w:r>
            <w:r w:rsidR="00DF3E41">
              <w:rPr>
                <w:noProof/>
                <w:webHidden/>
              </w:rPr>
              <w:fldChar w:fldCharType="end"/>
            </w:r>
          </w:hyperlink>
        </w:p>
        <w:p w14:paraId="1016C4BC" w14:textId="305C16BD"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8" w:history="1">
            <w:r w:rsidR="00DF3E41" w:rsidRPr="00345E3F">
              <w:rPr>
                <w:rStyle w:val="Hyperlink"/>
                <w:rFonts w:eastAsiaTheme="majorEastAsia"/>
                <w:noProof/>
              </w:rPr>
              <w:t>i)</w:t>
            </w:r>
            <w:r w:rsidR="00DF3E41">
              <w:rPr>
                <w:rFonts w:asciiTheme="minorHAnsi" w:eastAsiaTheme="minorEastAsia" w:hAnsiTheme="minorHAnsi" w:cstheme="minorBidi"/>
                <w:noProof/>
              </w:rPr>
              <w:tab/>
            </w:r>
            <w:r w:rsidR="00DF3E41" w:rsidRPr="00345E3F">
              <w:rPr>
                <w:rStyle w:val="Hyperlink"/>
                <w:rFonts w:eastAsia="Calibri"/>
                <w:noProof/>
              </w:rPr>
              <w:t>Right to fair trial</w:t>
            </w:r>
            <w:r w:rsidR="00DF3E41">
              <w:rPr>
                <w:noProof/>
                <w:webHidden/>
              </w:rPr>
              <w:tab/>
            </w:r>
            <w:r w:rsidR="00DF3E41">
              <w:rPr>
                <w:noProof/>
                <w:webHidden/>
              </w:rPr>
              <w:fldChar w:fldCharType="begin"/>
            </w:r>
            <w:r w:rsidR="00DF3E41">
              <w:rPr>
                <w:noProof/>
                <w:webHidden/>
              </w:rPr>
              <w:instrText xml:space="preserve"> PAGEREF _Toc51302038 \h </w:instrText>
            </w:r>
            <w:r w:rsidR="00DF3E41">
              <w:rPr>
                <w:noProof/>
                <w:webHidden/>
              </w:rPr>
            </w:r>
            <w:r w:rsidR="00DF3E41">
              <w:rPr>
                <w:noProof/>
                <w:webHidden/>
              </w:rPr>
              <w:fldChar w:fldCharType="separate"/>
            </w:r>
            <w:r w:rsidR="00DF3E41">
              <w:rPr>
                <w:noProof/>
                <w:webHidden/>
              </w:rPr>
              <w:t>11</w:t>
            </w:r>
            <w:r w:rsidR="00DF3E41">
              <w:rPr>
                <w:noProof/>
                <w:webHidden/>
              </w:rPr>
              <w:fldChar w:fldCharType="end"/>
            </w:r>
          </w:hyperlink>
        </w:p>
        <w:p w14:paraId="54862023" w14:textId="769D6C43" w:rsidR="00DF3E41" w:rsidRDefault="000B1374">
          <w:pPr>
            <w:pStyle w:val="TOC2"/>
            <w:tabs>
              <w:tab w:val="left" w:pos="720"/>
              <w:tab w:val="right" w:leader="dot" w:pos="9350"/>
            </w:tabs>
            <w:rPr>
              <w:rFonts w:asciiTheme="minorHAnsi" w:eastAsiaTheme="minorEastAsia" w:hAnsiTheme="minorHAnsi" w:cstheme="minorBidi"/>
              <w:noProof/>
            </w:rPr>
          </w:pPr>
          <w:hyperlink w:anchor="_Toc51302039" w:history="1">
            <w:r w:rsidR="00DF3E41" w:rsidRPr="00345E3F">
              <w:rPr>
                <w:rStyle w:val="Hyperlink"/>
                <w:rFonts w:eastAsiaTheme="majorEastAsia"/>
                <w:noProof/>
              </w:rPr>
              <w:t>j)</w:t>
            </w:r>
            <w:r w:rsidR="00DF3E41">
              <w:rPr>
                <w:rFonts w:asciiTheme="minorHAnsi" w:eastAsiaTheme="minorEastAsia" w:hAnsiTheme="minorHAnsi" w:cstheme="minorBidi"/>
                <w:noProof/>
              </w:rPr>
              <w:tab/>
            </w:r>
            <w:r w:rsidR="00DF3E41" w:rsidRPr="00345E3F">
              <w:rPr>
                <w:rStyle w:val="Hyperlink"/>
                <w:rFonts w:eastAsia="Calibri"/>
                <w:noProof/>
              </w:rPr>
              <w:t>State policy on fight against torture</w:t>
            </w:r>
            <w:r w:rsidR="00DF3E41">
              <w:rPr>
                <w:noProof/>
                <w:webHidden/>
              </w:rPr>
              <w:tab/>
            </w:r>
            <w:r w:rsidR="00DF3E41">
              <w:rPr>
                <w:noProof/>
                <w:webHidden/>
              </w:rPr>
              <w:fldChar w:fldCharType="begin"/>
            </w:r>
            <w:r w:rsidR="00DF3E41">
              <w:rPr>
                <w:noProof/>
                <w:webHidden/>
              </w:rPr>
              <w:instrText xml:space="preserve"> PAGEREF _Toc51302039 \h </w:instrText>
            </w:r>
            <w:r w:rsidR="00DF3E41">
              <w:rPr>
                <w:noProof/>
                <w:webHidden/>
              </w:rPr>
            </w:r>
            <w:r w:rsidR="00DF3E41">
              <w:rPr>
                <w:noProof/>
                <w:webHidden/>
              </w:rPr>
              <w:fldChar w:fldCharType="separate"/>
            </w:r>
            <w:r w:rsidR="00DF3E41">
              <w:rPr>
                <w:noProof/>
                <w:webHidden/>
              </w:rPr>
              <w:t>12</w:t>
            </w:r>
            <w:r w:rsidR="00DF3E41">
              <w:rPr>
                <w:noProof/>
                <w:webHidden/>
              </w:rPr>
              <w:fldChar w:fldCharType="end"/>
            </w:r>
          </w:hyperlink>
        </w:p>
        <w:p w14:paraId="388BAF43" w14:textId="0E8DAD7B"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0" w:history="1">
            <w:r w:rsidR="00DF3E41" w:rsidRPr="00345E3F">
              <w:rPr>
                <w:rStyle w:val="Hyperlink"/>
                <w:rFonts w:eastAsia="Calibri"/>
                <w:noProof/>
              </w:rPr>
              <w:t>k)</w:t>
            </w:r>
            <w:r w:rsidR="00DF3E41">
              <w:rPr>
                <w:rFonts w:asciiTheme="minorHAnsi" w:eastAsiaTheme="minorEastAsia" w:hAnsiTheme="minorHAnsi" w:cstheme="minorBidi"/>
                <w:noProof/>
              </w:rPr>
              <w:tab/>
            </w:r>
            <w:r w:rsidR="00DF3E41" w:rsidRPr="00345E3F">
              <w:rPr>
                <w:rStyle w:val="Hyperlink"/>
                <w:rFonts w:eastAsia="Calibri"/>
                <w:noProof/>
              </w:rPr>
              <w:t>Reforms in the penitentiary system</w:t>
            </w:r>
            <w:r w:rsidR="00DF3E41">
              <w:rPr>
                <w:noProof/>
                <w:webHidden/>
              </w:rPr>
              <w:tab/>
            </w:r>
            <w:r w:rsidR="00DF3E41">
              <w:rPr>
                <w:noProof/>
                <w:webHidden/>
              </w:rPr>
              <w:fldChar w:fldCharType="begin"/>
            </w:r>
            <w:r w:rsidR="00DF3E41">
              <w:rPr>
                <w:noProof/>
                <w:webHidden/>
              </w:rPr>
              <w:instrText xml:space="preserve"> PAGEREF _Toc51302040 \h </w:instrText>
            </w:r>
            <w:r w:rsidR="00DF3E41">
              <w:rPr>
                <w:noProof/>
                <w:webHidden/>
              </w:rPr>
            </w:r>
            <w:r w:rsidR="00DF3E41">
              <w:rPr>
                <w:noProof/>
                <w:webHidden/>
              </w:rPr>
              <w:fldChar w:fldCharType="separate"/>
            </w:r>
            <w:r w:rsidR="00DF3E41">
              <w:rPr>
                <w:noProof/>
                <w:webHidden/>
              </w:rPr>
              <w:t>12</w:t>
            </w:r>
            <w:r w:rsidR="00DF3E41">
              <w:rPr>
                <w:noProof/>
                <w:webHidden/>
              </w:rPr>
              <w:fldChar w:fldCharType="end"/>
            </w:r>
          </w:hyperlink>
        </w:p>
        <w:p w14:paraId="61CF814B" w14:textId="511C40AB"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1" w:history="1">
            <w:r w:rsidR="00DF3E41" w:rsidRPr="00345E3F">
              <w:rPr>
                <w:rStyle w:val="Hyperlink"/>
                <w:rFonts w:eastAsiaTheme="majorEastAsia"/>
                <w:noProof/>
              </w:rPr>
              <w:t>l)</w:t>
            </w:r>
            <w:r w:rsidR="00DF3E41">
              <w:rPr>
                <w:rFonts w:asciiTheme="minorHAnsi" w:eastAsiaTheme="minorEastAsia" w:hAnsiTheme="minorHAnsi" w:cstheme="minorBidi"/>
                <w:noProof/>
              </w:rPr>
              <w:tab/>
            </w:r>
            <w:r w:rsidR="00DF3E41" w:rsidRPr="00345E3F">
              <w:rPr>
                <w:rStyle w:val="Hyperlink"/>
                <w:rFonts w:eastAsia="Calibri"/>
                <w:noProof/>
              </w:rPr>
              <w:t>State policy on fights against trafficking in human beings</w:t>
            </w:r>
            <w:r w:rsidR="00DF3E41">
              <w:rPr>
                <w:noProof/>
                <w:webHidden/>
              </w:rPr>
              <w:tab/>
            </w:r>
            <w:r w:rsidR="00DF3E41">
              <w:rPr>
                <w:noProof/>
                <w:webHidden/>
              </w:rPr>
              <w:fldChar w:fldCharType="begin"/>
            </w:r>
            <w:r w:rsidR="00DF3E41">
              <w:rPr>
                <w:noProof/>
                <w:webHidden/>
              </w:rPr>
              <w:instrText xml:space="preserve"> PAGEREF _Toc51302041 \h </w:instrText>
            </w:r>
            <w:r w:rsidR="00DF3E41">
              <w:rPr>
                <w:noProof/>
                <w:webHidden/>
              </w:rPr>
            </w:r>
            <w:r w:rsidR="00DF3E41">
              <w:rPr>
                <w:noProof/>
                <w:webHidden/>
              </w:rPr>
              <w:fldChar w:fldCharType="separate"/>
            </w:r>
            <w:r w:rsidR="00DF3E41">
              <w:rPr>
                <w:noProof/>
                <w:webHidden/>
              </w:rPr>
              <w:t>13</w:t>
            </w:r>
            <w:r w:rsidR="00DF3E41">
              <w:rPr>
                <w:noProof/>
                <w:webHidden/>
              </w:rPr>
              <w:fldChar w:fldCharType="end"/>
            </w:r>
          </w:hyperlink>
        </w:p>
        <w:p w14:paraId="709FFFEC" w14:textId="082DB196" w:rsidR="00DF3E41" w:rsidRDefault="000B1374">
          <w:pPr>
            <w:pStyle w:val="TOC2"/>
            <w:tabs>
              <w:tab w:val="left" w:pos="960"/>
              <w:tab w:val="right" w:leader="dot" w:pos="9350"/>
            </w:tabs>
            <w:rPr>
              <w:rFonts w:asciiTheme="minorHAnsi" w:eastAsiaTheme="minorEastAsia" w:hAnsiTheme="minorHAnsi" w:cstheme="minorBidi"/>
              <w:noProof/>
            </w:rPr>
          </w:pPr>
          <w:hyperlink w:anchor="_Toc51302042" w:history="1">
            <w:r w:rsidR="00DF3E41" w:rsidRPr="00345E3F">
              <w:rPr>
                <w:rStyle w:val="Hyperlink"/>
                <w:rFonts w:eastAsia="Calibri"/>
                <w:noProof/>
              </w:rPr>
              <w:t>m)</w:t>
            </w:r>
            <w:r w:rsidR="00DF3E41">
              <w:rPr>
                <w:rFonts w:asciiTheme="minorHAnsi" w:eastAsiaTheme="minorEastAsia" w:hAnsiTheme="minorHAnsi" w:cstheme="minorBidi"/>
                <w:noProof/>
              </w:rPr>
              <w:tab/>
            </w:r>
            <w:r w:rsidR="00DF3E41" w:rsidRPr="00345E3F">
              <w:rPr>
                <w:rStyle w:val="Hyperlink"/>
                <w:rFonts w:eastAsia="Calibri"/>
                <w:noProof/>
              </w:rPr>
              <w:t>Right to privacy and personal data protection</w:t>
            </w:r>
            <w:r w:rsidR="00DF3E41">
              <w:rPr>
                <w:noProof/>
                <w:webHidden/>
              </w:rPr>
              <w:tab/>
            </w:r>
            <w:r w:rsidR="00DF3E41">
              <w:rPr>
                <w:noProof/>
                <w:webHidden/>
              </w:rPr>
              <w:fldChar w:fldCharType="begin"/>
            </w:r>
            <w:r w:rsidR="00DF3E41">
              <w:rPr>
                <w:noProof/>
                <w:webHidden/>
              </w:rPr>
              <w:instrText xml:space="preserve"> PAGEREF _Toc51302042 \h </w:instrText>
            </w:r>
            <w:r w:rsidR="00DF3E41">
              <w:rPr>
                <w:noProof/>
                <w:webHidden/>
              </w:rPr>
            </w:r>
            <w:r w:rsidR="00DF3E41">
              <w:rPr>
                <w:noProof/>
                <w:webHidden/>
              </w:rPr>
              <w:fldChar w:fldCharType="separate"/>
            </w:r>
            <w:r w:rsidR="00DF3E41">
              <w:rPr>
                <w:noProof/>
                <w:webHidden/>
              </w:rPr>
              <w:t>14</w:t>
            </w:r>
            <w:r w:rsidR="00DF3E41">
              <w:rPr>
                <w:noProof/>
                <w:webHidden/>
              </w:rPr>
              <w:fldChar w:fldCharType="end"/>
            </w:r>
          </w:hyperlink>
        </w:p>
        <w:p w14:paraId="4529ED3B" w14:textId="6C6A2AE4"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3" w:history="1">
            <w:r w:rsidR="00DF3E41" w:rsidRPr="00345E3F">
              <w:rPr>
                <w:rStyle w:val="Hyperlink"/>
                <w:rFonts w:eastAsia="Calibri"/>
                <w:noProof/>
              </w:rPr>
              <w:t>n)</w:t>
            </w:r>
            <w:r w:rsidR="00DF3E41">
              <w:rPr>
                <w:rFonts w:asciiTheme="minorHAnsi" w:eastAsiaTheme="minorEastAsia" w:hAnsiTheme="minorHAnsi" w:cstheme="minorBidi"/>
                <w:noProof/>
              </w:rPr>
              <w:tab/>
            </w:r>
            <w:r w:rsidR="00DF3E41" w:rsidRPr="00345E3F">
              <w:rPr>
                <w:rStyle w:val="Hyperlink"/>
                <w:rFonts w:eastAsia="Calibri"/>
                <w:noProof/>
              </w:rPr>
              <w:t>Freedom of religion, expression, freedom of assembly and unions</w:t>
            </w:r>
            <w:r w:rsidR="00DF3E41">
              <w:rPr>
                <w:noProof/>
                <w:webHidden/>
              </w:rPr>
              <w:tab/>
            </w:r>
            <w:r w:rsidR="00DF3E41">
              <w:rPr>
                <w:noProof/>
                <w:webHidden/>
              </w:rPr>
              <w:fldChar w:fldCharType="begin"/>
            </w:r>
            <w:r w:rsidR="00DF3E41">
              <w:rPr>
                <w:noProof/>
                <w:webHidden/>
              </w:rPr>
              <w:instrText xml:space="preserve"> PAGEREF _Toc51302043 \h </w:instrText>
            </w:r>
            <w:r w:rsidR="00DF3E41">
              <w:rPr>
                <w:noProof/>
                <w:webHidden/>
              </w:rPr>
            </w:r>
            <w:r w:rsidR="00DF3E41">
              <w:rPr>
                <w:noProof/>
                <w:webHidden/>
              </w:rPr>
              <w:fldChar w:fldCharType="separate"/>
            </w:r>
            <w:r w:rsidR="00DF3E41">
              <w:rPr>
                <w:noProof/>
                <w:webHidden/>
              </w:rPr>
              <w:t>14</w:t>
            </w:r>
            <w:r w:rsidR="00DF3E41">
              <w:rPr>
                <w:noProof/>
                <w:webHidden/>
              </w:rPr>
              <w:fldChar w:fldCharType="end"/>
            </w:r>
          </w:hyperlink>
        </w:p>
        <w:p w14:paraId="747ECADF" w14:textId="63148086"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4" w:history="1">
            <w:r w:rsidR="00DF3E41" w:rsidRPr="00345E3F">
              <w:rPr>
                <w:rStyle w:val="Hyperlink"/>
                <w:rFonts w:eastAsia="Calibri"/>
                <w:noProof/>
              </w:rPr>
              <w:t>o)</w:t>
            </w:r>
            <w:r w:rsidR="00DF3E41">
              <w:rPr>
                <w:rFonts w:asciiTheme="minorHAnsi" w:eastAsiaTheme="minorEastAsia" w:hAnsiTheme="minorHAnsi" w:cstheme="minorBidi"/>
                <w:noProof/>
              </w:rPr>
              <w:tab/>
            </w:r>
            <w:r w:rsidR="00DF3E41" w:rsidRPr="00345E3F">
              <w:rPr>
                <w:rStyle w:val="Hyperlink"/>
                <w:rFonts w:eastAsia="Calibri"/>
                <w:noProof/>
              </w:rPr>
              <w:t>Healthcare and social protection</w:t>
            </w:r>
            <w:r w:rsidR="00DF3E41">
              <w:rPr>
                <w:noProof/>
                <w:webHidden/>
              </w:rPr>
              <w:tab/>
            </w:r>
            <w:r w:rsidR="00DF3E41">
              <w:rPr>
                <w:noProof/>
                <w:webHidden/>
              </w:rPr>
              <w:fldChar w:fldCharType="begin"/>
            </w:r>
            <w:r w:rsidR="00DF3E41">
              <w:rPr>
                <w:noProof/>
                <w:webHidden/>
              </w:rPr>
              <w:instrText xml:space="preserve"> PAGEREF _Toc51302044 \h </w:instrText>
            </w:r>
            <w:r w:rsidR="00DF3E41">
              <w:rPr>
                <w:noProof/>
                <w:webHidden/>
              </w:rPr>
            </w:r>
            <w:r w:rsidR="00DF3E41">
              <w:rPr>
                <w:noProof/>
                <w:webHidden/>
              </w:rPr>
              <w:fldChar w:fldCharType="separate"/>
            </w:r>
            <w:r w:rsidR="00DF3E41">
              <w:rPr>
                <w:noProof/>
                <w:webHidden/>
              </w:rPr>
              <w:t>15</w:t>
            </w:r>
            <w:r w:rsidR="00DF3E41">
              <w:rPr>
                <w:noProof/>
                <w:webHidden/>
              </w:rPr>
              <w:fldChar w:fldCharType="end"/>
            </w:r>
          </w:hyperlink>
        </w:p>
        <w:p w14:paraId="3F39B011" w14:textId="17716DFF"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5" w:history="1">
            <w:r w:rsidR="00DF3E41" w:rsidRPr="00345E3F">
              <w:rPr>
                <w:rStyle w:val="Hyperlink"/>
                <w:rFonts w:eastAsia="Calibri"/>
                <w:noProof/>
              </w:rPr>
              <w:t>p)</w:t>
            </w:r>
            <w:r w:rsidR="00DF3E41">
              <w:rPr>
                <w:rFonts w:asciiTheme="minorHAnsi" w:eastAsiaTheme="minorEastAsia" w:hAnsiTheme="minorHAnsi" w:cstheme="minorBidi"/>
                <w:noProof/>
              </w:rPr>
              <w:tab/>
            </w:r>
            <w:r w:rsidR="00DF3E41" w:rsidRPr="00345E3F">
              <w:rPr>
                <w:rStyle w:val="Hyperlink"/>
                <w:rFonts w:eastAsia="Calibri"/>
                <w:noProof/>
              </w:rPr>
              <w:t>Labour and employment</w:t>
            </w:r>
            <w:r w:rsidR="00DF3E41">
              <w:rPr>
                <w:noProof/>
                <w:webHidden/>
              </w:rPr>
              <w:tab/>
            </w:r>
            <w:r w:rsidR="00DF3E41">
              <w:rPr>
                <w:noProof/>
                <w:webHidden/>
              </w:rPr>
              <w:fldChar w:fldCharType="begin"/>
            </w:r>
            <w:r w:rsidR="00DF3E41">
              <w:rPr>
                <w:noProof/>
                <w:webHidden/>
              </w:rPr>
              <w:instrText xml:space="preserve"> PAGEREF _Toc51302045 \h </w:instrText>
            </w:r>
            <w:r w:rsidR="00DF3E41">
              <w:rPr>
                <w:noProof/>
                <w:webHidden/>
              </w:rPr>
            </w:r>
            <w:r w:rsidR="00DF3E41">
              <w:rPr>
                <w:noProof/>
                <w:webHidden/>
              </w:rPr>
              <w:fldChar w:fldCharType="separate"/>
            </w:r>
            <w:r w:rsidR="00DF3E41">
              <w:rPr>
                <w:noProof/>
                <w:webHidden/>
              </w:rPr>
              <w:t>16</w:t>
            </w:r>
            <w:r w:rsidR="00DF3E41">
              <w:rPr>
                <w:noProof/>
                <w:webHidden/>
              </w:rPr>
              <w:fldChar w:fldCharType="end"/>
            </w:r>
          </w:hyperlink>
        </w:p>
        <w:p w14:paraId="23245B1D" w14:textId="7BAE1B67"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6" w:history="1">
            <w:r w:rsidR="00DF3E41" w:rsidRPr="00345E3F">
              <w:rPr>
                <w:rStyle w:val="Hyperlink"/>
                <w:rFonts w:eastAsiaTheme="majorEastAsia"/>
                <w:noProof/>
              </w:rPr>
              <w:t>q)</w:t>
            </w:r>
            <w:r w:rsidR="00DF3E41">
              <w:rPr>
                <w:rFonts w:asciiTheme="minorHAnsi" w:eastAsiaTheme="minorEastAsia" w:hAnsiTheme="minorHAnsi" w:cstheme="minorBidi"/>
                <w:noProof/>
              </w:rPr>
              <w:tab/>
            </w:r>
            <w:r w:rsidR="00DF3E41" w:rsidRPr="00345E3F">
              <w:rPr>
                <w:rStyle w:val="Hyperlink"/>
                <w:rFonts w:eastAsia="Calibri"/>
                <w:noProof/>
              </w:rPr>
              <w:t>Rights of persons with disabilities</w:t>
            </w:r>
            <w:r w:rsidR="00DF3E41">
              <w:rPr>
                <w:noProof/>
                <w:webHidden/>
              </w:rPr>
              <w:tab/>
            </w:r>
            <w:r w:rsidR="00DF3E41">
              <w:rPr>
                <w:noProof/>
                <w:webHidden/>
              </w:rPr>
              <w:fldChar w:fldCharType="begin"/>
            </w:r>
            <w:r w:rsidR="00DF3E41">
              <w:rPr>
                <w:noProof/>
                <w:webHidden/>
              </w:rPr>
              <w:instrText xml:space="preserve"> PAGEREF _Toc51302046 \h </w:instrText>
            </w:r>
            <w:r w:rsidR="00DF3E41">
              <w:rPr>
                <w:noProof/>
                <w:webHidden/>
              </w:rPr>
            </w:r>
            <w:r w:rsidR="00DF3E41">
              <w:rPr>
                <w:noProof/>
                <w:webHidden/>
              </w:rPr>
              <w:fldChar w:fldCharType="separate"/>
            </w:r>
            <w:r w:rsidR="00DF3E41">
              <w:rPr>
                <w:noProof/>
                <w:webHidden/>
              </w:rPr>
              <w:t>16</w:t>
            </w:r>
            <w:r w:rsidR="00DF3E41">
              <w:rPr>
                <w:noProof/>
                <w:webHidden/>
              </w:rPr>
              <w:fldChar w:fldCharType="end"/>
            </w:r>
          </w:hyperlink>
        </w:p>
        <w:p w14:paraId="44C82055" w14:textId="0155568E"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7" w:history="1">
            <w:r w:rsidR="00DF3E41" w:rsidRPr="00345E3F">
              <w:rPr>
                <w:rStyle w:val="Hyperlink"/>
                <w:rFonts w:eastAsiaTheme="majorEastAsia"/>
                <w:noProof/>
              </w:rPr>
              <w:t>r)</w:t>
            </w:r>
            <w:r w:rsidR="00DF3E41">
              <w:rPr>
                <w:rFonts w:asciiTheme="minorHAnsi" w:eastAsiaTheme="minorEastAsia" w:hAnsiTheme="minorHAnsi" w:cstheme="minorBidi"/>
                <w:noProof/>
              </w:rPr>
              <w:tab/>
            </w:r>
            <w:r w:rsidR="00DF3E41" w:rsidRPr="00345E3F">
              <w:rPr>
                <w:rStyle w:val="Hyperlink"/>
                <w:rFonts w:eastAsia="Calibri"/>
                <w:noProof/>
              </w:rPr>
              <w:t>Internally displaced persons</w:t>
            </w:r>
            <w:r w:rsidR="00DF3E41">
              <w:rPr>
                <w:noProof/>
                <w:webHidden/>
              </w:rPr>
              <w:tab/>
            </w:r>
            <w:r w:rsidR="00DF3E41">
              <w:rPr>
                <w:noProof/>
                <w:webHidden/>
              </w:rPr>
              <w:fldChar w:fldCharType="begin"/>
            </w:r>
            <w:r w:rsidR="00DF3E41">
              <w:rPr>
                <w:noProof/>
                <w:webHidden/>
              </w:rPr>
              <w:instrText xml:space="preserve"> PAGEREF _Toc51302047 \h </w:instrText>
            </w:r>
            <w:r w:rsidR="00DF3E41">
              <w:rPr>
                <w:noProof/>
                <w:webHidden/>
              </w:rPr>
            </w:r>
            <w:r w:rsidR="00DF3E41">
              <w:rPr>
                <w:noProof/>
                <w:webHidden/>
              </w:rPr>
              <w:fldChar w:fldCharType="separate"/>
            </w:r>
            <w:r w:rsidR="00DF3E41">
              <w:rPr>
                <w:noProof/>
                <w:webHidden/>
              </w:rPr>
              <w:t>18</w:t>
            </w:r>
            <w:r w:rsidR="00DF3E41">
              <w:rPr>
                <w:noProof/>
                <w:webHidden/>
              </w:rPr>
              <w:fldChar w:fldCharType="end"/>
            </w:r>
          </w:hyperlink>
        </w:p>
        <w:p w14:paraId="4C8D2A94" w14:textId="32262027"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8" w:history="1">
            <w:r w:rsidR="00DF3E41" w:rsidRPr="00345E3F">
              <w:rPr>
                <w:rStyle w:val="Hyperlink"/>
                <w:rFonts w:eastAsia="Calibri"/>
                <w:noProof/>
              </w:rPr>
              <w:t>s)</w:t>
            </w:r>
            <w:r w:rsidR="00DF3E41">
              <w:rPr>
                <w:rFonts w:asciiTheme="minorHAnsi" w:eastAsiaTheme="minorEastAsia" w:hAnsiTheme="minorHAnsi" w:cstheme="minorBidi"/>
                <w:noProof/>
              </w:rPr>
              <w:tab/>
            </w:r>
            <w:r w:rsidR="00DF3E41" w:rsidRPr="00345E3F">
              <w:rPr>
                <w:rStyle w:val="Hyperlink"/>
                <w:rFonts w:eastAsia="Calibri"/>
                <w:noProof/>
              </w:rPr>
              <w:t>Rights of ethnic minorities</w:t>
            </w:r>
            <w:r w:rsidR="00DF3E41">
              <w:rPr>
                <w:noProof/>
                <w:webHidden/>
              </w:rPr>
              <w:tab/>
            </w:r>
            <w:r w:rsidR="00DF3E41">
              <w:rPr>
                <w:noProof/>
                <w:webHidden/>
              </w:rPr>
              <w:fldChar w:fldCharType="begin"/>
            </w:r>
            <w:r w:rsidR="00DF3E41">
              <w:rPr>
                <w:noProof/>
                <w:webHidden/>
              </w:rPr>
              <w:instrText xml:space="preserve"> PAGEREF _Toc51302048 \h </w:instrText>
            </w:r>
            <w:r w:rsidR="00DF3E41">
              <w:rPr>
                <w:noProof/>
                <w:webHidden/>
              </w:rPr>
            </w:r>
            <w:r w:rsidR="00DF3E41">
              <w:rPr>
                <w:noProof/>
                <w:webHidden/>
              </w:rPr>
              <w:fldChar w:fldCharType="separate"/>
            </w:r>
            <w:r w:rsidR="00DF3E41">
              <w:rPr>
                <w:noProof/>
                <w:webHidden/>
              </w:rPr>
              <w:t>18</w:t>
            </w:r>
            <w:r w:rsidR="00DF3E41">
              <w:rPr>
                <w:noProof/>
                <w:webHidden/>
              </w:rPr>
              <w:fldChar w:fldCharType="end"/>
            </w:r>
          </w:hyperlink>
        </w:p>
        <w:p w14:paraId="5EA75777" w14:textId="4E5B9D2E" w:rsidR="00DF3E41" w:rsidRDefault="000B1374">
          <w:pPr>
            <w:pStyle w:val="TOC2"/>
            <w:tabs>
              <w:tab w:val="left" w:pos="720"/>
              <w:tab w:val="right" w:leader="dot" w:pos="9350"/>
            </w:tabs>
            <w:rPr>
              <w:rFonts w:asciiTheme="minorHAnsi" w:eastAsiaTheme="minorEastAsia" w:hAnsiTheme="minorHAnsi" w:cstheme="minorBidi"/>
              <w:noProof/>
            </w:rPr>
          </w:pPr>
          <w:hyperlink w:anchor="_Toc51302049" w:history="1">
            <w:r w:rsidR="00DF3E41" w:rsidRPr="00345E3F">
              <w:rPr>
                <w:rStyle w:val="Hyperlink"/>
                <w:rFonts w:eastAsiaTheme="majorEastAsia"/>
                <w:noProof/>
              </w:rPr>
              <w:t>t)</w:t>
            </w:r>
            <w:r w:rsidR="00DF3E41">
              <w:rPr>
                <w:rFonts w:asciiTheme="minorHAnsi" w:eastAsiaTheme="minorEastAsia" w:hAnsiTheme="minorHAnsi" w:cstheme="minorBidi"/>
                <w:noProof/>
              </w:rPr>
              <w:tab/>
            </w:r>
            <w:r w:rsidR="00DF3E41" w:rsidRPr="00345E3F">
              <w:rPr>
                <w:rStyle w:val="Hyperlink"/>
                <w:rFonts w:eastAsia="Calibri"/>
                <w:noProof/>
              </w:rPr>
              <w:t>Ecomigrants</w:t>
            </w:r>
            <w:r w:rsidR="00DF3E41" w:rsidRPr="00345E3F">
              <w:rPr>
                <w:rStyle w:val="Hyperlink"/>
                <w:rFonts w:eastAsiaTheme="majorEastAsia"/>
                <w:noProof/>
              </w:rPr>
              <w:t>, reintegration of returned migrants, integration of persons with humanitarian status</w:t>
            </w:r>
            <w:r w:rsidR="00DF3E41">
              <w:rPr>
                <w:noProof/>
                <w:webHidden/>
              </w:rPr>
              <w:tab/>
            </w:r>
            <w:r w:rsidR="00DF3E41">
              <w:rPr>
                <w:noProof/>
                <w:webHidden/>
              </w:rPr>
              <w:fldChar w:fldCharType="begin"/>
            </w:r>
            <w:r w:rsidR="00DF3E41">
              <w:rPr>
                <w:noProof/>
                <w:webHidden/>
              </w:rPr>
              <w:instrText xml:space="preserve"> PAGEREF _Toc51302049 \h </w:instrText>
            </w:r>
            <w:r w:rsidR="00DF3E41">
              <w:rPr>
                <w:noProof/>
                <w:webHidden/>
              </w:rPr>
            </w:r>
            <w:r w:rsidR="00DF3E41">
              <w:rPr>
                <w:noProof/>
                <w:webHidden/>
              </w:rPr>
              <w:fldChar w:fldCharType="separate"/>
            </w:r>
            <w:r w:rsidR="00DF3E41">
              <w:rPr>
                <w:noProof/>
                <w:webHidden/>
              </w:rPr>
              <w:t>20</w:t>
            </w:r>
            <w:r w:rsidR="00DF3E41">
              <w:rPr>
                <w:noProof/>
                <w:webHidden/>
              </w:rPr>
              <w:fldChar w:fldCharType="end"/>
            </w:r>
          </w:hyperlink>
        </w:p>
        <w:p w14:paraId="54D3590E" w14:textId="55080142" w:rsidR="00DF3E41" w:rsidRDefault="000B1374">
          <w:pPr>
            <w:pStyle w:val="TOC2"/>
            <w:tabs>
              <w:tab w:val="left" w:pos="720"/>
              <w:tab w:val="right" w:leader="dot" w:pos="9350"/>
            </w:tabs>
            <w:rPr>
              <w:rFonts w:asciiTheme="minorHAnsi" w:eastAsiaTheme="minorEastAsia" w:hAnsiTheme="minorHAnsi" w:cstheme="minorBidi"/>
              <w:noProof/>
            </w:rPr>
          </w:pPr>
          <w:hyperlink w:anchor="_Toc51302050" w:history="1">
            <w:r w:rsidR="00DF3E41" w:rsidRPr="00345E3F">
              <w:rPr>
                <w:rStyle w:val="Hyperlink"/>
                <w:rFonts w:eastAsiaTheme="majorEastAsia"/>
                <w:noProof/>
              </w:rPr>
              <w:t>u)</w:t>
            </w:r>
            <w:r w:rsidR="00DF3E41">
              <w:rPr>
                <w:rFonts w:asciiTheme="minorHAnsi" w:eastAsiaTheme="minorEastAsia" w:hAnsiTheme="minorHAnsi" w:cstheme="minorBidi"/>
                <w:noProof/>
              </w:rPr>
              <w:tab/>
            </w:r>
            <w:r w:rsidR="00DF3E41" w:rsidRPr="00345E3F">
              <w:rPr>
                <w:rStyle w:val="Hyperlink"/>
                <w:rFonts w:eastAsiaTheme="majorEastAsia"/>
                <w:noProof/>
              </w:rPr>
              <w:t xml:space="preserve">Right to live in a safe and healthy environment </w:t>
            </w:r>
            <w:r w:rsidR="00DF3E41">
              <w:rPr>
                <w:noProof/>
                <w:webHidden/>
              </w:rPr>
              <w:tab/>
            </w:r>
            <w:r w:rsidR="00DF3E41">
              <w:rPr>
                <w:noProof/>
                <w:webHidden/>
              </w:rPr>
              <w:fldChar w:fldCharType="begin"/>
            </w:r>
            <w:r w:rsidR="00DF3E41">
              <w:rPr>
                <w:noProof/>
                <w:webHidden/>
              </w:rPr>
              <w:instrText xml:space="preserve"> PAGEREF _Toc51302050 \h </w:instrText>
            </w:r>
            <w:r w:rsidR="00DF3E41">
              <w:rPr>
                <w:noProof/>
                <w:webHidden/>
              </w:rPr>
            </w:r>
            <w:r w:rsidR="00DF3E41">
              <w:rPr>
                <w:noProof/>
                <w:webHidden/>
              </w:rPr>
              <w:fldChar w:fldCharType="separate"/>
            </w:r>
            <w:r w:rsidR="00DF3E41">
              <w:rPr>
                <w:noProof/>
                <w:webHidden/>
              </w:rPr>
              <w:t>20</w:t>
            </w:r>
            <w:r w:rsidR="00DF3E41">
              <w:rPr>
                <w:noProof/>
                <w:webHidden/>
              </w:rPr>
              <w:fldChar w:fldCharType="end"/>
            </w:r>
          </w:hyperlink>
        </w:p>
        <w:p w14:paraId="4B0C4C58" w14:textId="66EAE121" w:rsidR="00DF3E41" w:rsidRDefault="000B1374">
          <w:pPr>
            <w:pStyle w:val="TOC1"/>
            <w:tabs>
              <w:tab w:val="left" w:pos="720"/>
              <w:tab w:val="right" w:leader="dot" w:pos="9350"/>
            </w:tabs>
            <w:rPr>
              <w:rFonts w:asciiTheme="minorHAnsi" w:eastAsiaTheme="minorEastAsia" w:hAnsiTheme="minorHAnsi" w:cstheme="minorBidi"/>
              <w:noProof/>
            </w:rPr>
          </w:pPr>
          <w:hyperlink w:anchor="_Toc51302051" w:history="1">
            <w:r w:rsidR="00DF3E41" w:rsidRPr="00345E3F">
              <w:rPr>
                <w:rStyle w:val="Hyperlink"/>
                <w:rFonts w:eastAsia="Calibri"/>
                <w:noProof/>
              </w:rPr>
              <w:t>III.</w:t>
            </w:r>
            <w:r w:rsidR="00DF3E41">
              <w:rPr>
                <w:rFonts w:asciiTheme="minorHAnsi" w:eastAsiaTheme="minorEastAsia" w:hAnsiTheme="minorHAnsi" w:cstheme="minorBidi"/>
                <w:noProof/>
              </w:rPr>
              <w:tab/>
            </w:r>
            <w:r w:rsidR="00DF3E41" w:rsidRPr="00345E3F">
              <w:rPr>
                <w:rStyle w:val="Hyperlink"/>
                <w:rFonts w:eastAsia="Calibri"/>
                <w:noProof/>
              </w:rPr>
              <w:t>Human Rights during the COVID-19 Crisis</w:t>
            </w:r>
            <w:r w:rsidR="00DF3E41">
              <w:rPr>
                <w:noProof/>
                <w:webHidden/>
              </w:rPr>
              <w:tab/>
            </w:r>
            <w:r w:rsidR="00DF3E41">
              <w:rPr>
                <w:noProof/>
                <w:webHidden/>
              </w:rPr>
              <w:fldChar w:fldCharType="begin"/>
            </w:r>
            <w:r w:rsidR="00DF3E41">
              <w:rPr>
                <w:noProof/>
                <w:webHidden/>
              </w:rPr>
              <w:instrText xml:space="preserve"> PAGEREF _Toc51302051 \h </w:instrText>
            </w:r>
            <w:r w:rsidR="00DF3E41">
              <w:rPr>
                <w:noProof/>
                <w:webHidden/>
              </w:rPr>
            </w:r>
            <w:r w:rsidR="00DF3E41">
              <w:rPr>
                <w:noProof/>
                <w:webHidden/>
              </w:rPr>
              <w:fldChar w:fldCharType="separate"/>
            </w:r>
            <w:r w:rsidR="00DF3E41">
              <w:rPr>
                <w:noProof/>
                <w:webHidden/>
              </w:rPr>
              <w:t>21</w:t>
            </w:r>
            <w:r w:rsidR="00DF3E41">
              <w:rPr>
                <w:noProof/>
                <w:webHidden/>
              </w:rPr>
              <w:fldChar w:fldCharType="end"/>
            </w:r>
          </w:hyperlink>
        </w:p>
        <w:p w14:paraId="31D9B924" w14:textId="477C2BE0" w:rsidR="00DF3E41" w:rsidRDefault="000B1374">
          <w:pPr>
            <w:pStyle w:val="TOC1"/>
            <w:tabs>
              <w:tab w:val="left" w:pos="720"/>
              <w:tab w:val="right" w:leader="dot" w:pos="9350"/>
            </w:tabs>
            <w:rPr>
              <w:rFonts w:asciiTheme="minorHAnsi" w:eastAsiaTheme="minorEastAsia" w:hAnsiTheme="minorHAnsi" w:cstheme="minorBidi"/>
              <w:noProof/>
            </w:rPr>
          </w:pPr>
          <w:hyperlink w:anchor="_Toc51302052" w:history="1">
            <w:r w:rsidR="00DF3E41" w:rsidRPr="00345E3F">
              <w:rPr>
                <w:rStyle w:val="Hyperlink"/>
                <w:rFonts w:eastAsia="Calibri"/>
                <w:noProof/>
              </w:rPr>
              <w:t>IV.</w:t>
            </w:r>
            <w:r w:rsidR="00DF3E41">
              <w:rPr>
                <w:rFonts w:asciiTheme="minorHAnsi" w:eastAsiaTheme="minorEastAsia" w:hAnsiTheme="minorHAnsi" w:cstheme="minorBidi"/>
                <w:noProof/>
              </w:rPr>
              <w:tab/>
            </w:r>
            <w:r w:rsidR="00DF3E41" w:rsidRPr="00345E3F">
              <w:rPr>
                <w:rStyle w:val="Hyperlink"/>
                <w:rFonts w:eastAsia="Calibri"/>
                <w:noProof/>
              </w:rPr>
              <w:t>Implementation of Commitments</w:t>
            </w:r>
            <w:r w:rsidR="00DF3E41">
              <w:rPr>
                <w:noProof/>
                <w:webHidden/>
              </w:rPr>
              <w:tab/>
            </w:r>
            <w:r w:rsidR="00DF3E41">
              <w:rPr>
                <w:noProof/>
                <w:webHidden/>
              </w:rPr>
              <w:fldChar w:fldCharType="begin"/>
            </w:r>
            <w:r w:rsidR="00DF3E41">
              <w:rPr>
                <w:noProof/>
                <w:webHidden/>
              </w:rPr>
              <w:instrText xml:space="preserve"> PAGEREF _Toc51302052 \h </w:instrText>
            </w:r>
            <w:r w:rsidR="00DF3E41">
              <w:rPr>
                <w:noProof/>
                <w:webHidden/>
              </w:rPr>
            </w:r>
            <w:r w:rsidR="00DF3E41">
              <w:rPr>
                <w:noProof/>
                <w:webHidden/>
              </w:rPr>
              <w:fldChar w:fldCharType="separate"/>
            </w:r>
            <w:r w:rsidR="00DF3E41">
              <w:rPr>
                <w:noProof/>
                <w:webHidden/>
              </w:rPr>
              <w:t>23</w:t>
            </w:r>
            <w:r w:rsidR="00DF3E41">
              <w:rPr>
                <w:noProof/>
                <w:webHidden/>
              </w:rPr>
              <w:fldChar w:fldCharType="end"/>
            </w:r>
          </w:hyperlink>
        </w:p>
        <w:p w14:paraId="08A06682" w14:textId="051E11CA" w:rsidR="00DF3E41" w:rsidRDefault="000B1374">
          <w:pPr>
            <w:pStyle w:val="TOC1"/>
            <w:tabs>
              <w:tab w:val="left" w:pos="480"/>
              <w:tab w:val="right" w:leader="dot" w:pos="9350"/>
            </w:tabs>
            <w:rPr>
              <w:rFonts w:asciiTheme="minorHAnsi" w:eastAsiaTheme="minorEastAsia" w:hAnsiTheme="minorHAnsi" w:cstheme="minorBidi"/>
              <w:noProof/>
            </w:rPr>
          </w:pPr>
          <w:hyperlink w:anchor="_Toc51302053" w:history="1">
            <w:r w:rsidR="00DF3E41" w:rsidRPr="00345E3F">
              <w:rPr>
                <w:rStyle w:val="Hyperlink"/>
                <w:rFonts w:eastAsia="Calibri"/>
                <w:noProof/>
              </w:rPr>
              <w:t>V.</w:t>
            </w:r>
            <w:r w:rsidR="00DF3E41">
              <w:rPr>
                <w:rFonts w:asciiTheme="minorHAnsi" w:eastAsiaTheme="minorEastAsia" w:hAnsiTheme="minorHAnsi" w:cstheme="minorBidi"/>
                <w:noProof/>
              </w:rPr>
              <w:tab/>
            </w:r>
            <w:r w:rsidR="00DF3E41" w:rsidRPr="00345E3F">
              <w:rPr>
                <w:rStyle w:val="Hyperlink"/>
                <w:rFonts w:eastAsia="Calibri"/>
                <w:noProof/>
              </w:rPr>
              <w:t>Expectation and support</w:t>
            </w:r>
            <w:r w:rsidR="00DF3E41">
              <w:rPr>
                <w:noProof/>
                <w:webHidden/>
              </w:rPr>
              <w:tab/>
            </w:r>
            <w:r w:rsidR="00DF3E41">
              <w:rPr>
                <w:noProof/>
                <w:webHidden/>
              </w:rPr>
              <w:fldChar w:fldCharType="begin"/>
            </w:r>
            <w:r w:rsidR="00DF3E41">
              <w:rPr>
                <w:noProof/>
                <w:webHidden/>
              </w:rPr>
              <w:instrText xml:space="preserve"> PAGEREF _Toc51302053 \h </w:instrText>
            </w:r>
            <w:r w:rsidR="00DF3E41">
              <w:rPr>
                <w:noProof/>
                <w:webHidden/>
              </w:rPr>
            </w:r>
            <w:r w:rsidR="00DF3E41">
              <w:rPr>
                <w:noProof/>
                <w:webHidden/>
              </w:rPr>
              <w:fldChar w:fldCharType="separate"/>
            </w:r>
            <w:r w:rsidR="00DF3E41">
              <w:rPr>
                <w:noProof/>
                <w:webHidden/>
              </w:rPr>
              <w:t>24</w:t>
            </w:r>
            <w:r w:rsidR="00DF3E41">
              <w:rPr>
                <w:noProof/>
                <w:webHidden/>
              </w:rPr>
              <w:fldChar w:fldCharType="end"/>
            </w:r>
          </w:hyperlink>
        </w:p>
        <w:p w14:paraId="0C894732" w14:textId="1B399257" w:rsidR="00DF3E41" w:rsidRDefault="000B1374">
          <w:pPr>
            <w:pStyle w:val="TOC1"/>
            <w:tabs>
              <w:tab w:val="left" w:pos="720"/>
              <w:tab w:val="right" w:leader="dot" w:pos="9350"/>
            </w:tabs>
            <w:rPr>
              <w:rFonts w:asciiTheme="minorHAnsi" w:eastAsiaTheme="minorEastAsia" w:hAnsiTheme="minorHAnsi" w:cstheme="minorBidi"/>
              <w:noProof/>
            </w:rPr>
          </w:pPr>
          <w:hyperlink w:anchor="_Toc51302054" w:history="1">
            <w:r w:rsidR="00DF3E41" w:rsidRPr="00345E3F">
              <w:rPr>
                <w:rStyle w:val="Hyperlink"/>
                <w:rFonts w:eastAsiaTheme="majorEastAsia"/>
                <w:noProof/>
              </w:rPr>
              <w:t>VI.</w:t>
            </w:r>
            <w:r w:rsidR="00DF3E41">
              <w:rPr>
                <w:rFonts w:asciiTheme="minorHAnsi" w:eastAsiaTheme="minorEastAsia" w:hAnsiTheme="minorHAnsi" w:cstheme="minorBidi"/>
                <w:noProof/>
              </w:rPr>
              <w:tab/>
            </w:r>
            <w:r w:rsidR="00DF3E41" w:rsidRPr="00345E3F">
              <w:rPr>
                <w:rStyle w:val="Hyperlink"/>
                <w:rFonts w:eastAsia="Calibri"/>
                <w:noProof/>
              </w:rPr>
              <w:t>Conclusion</w:t>
            </w:r>
            <w:r w:rsidR="00DF3E41">
              <w:rPr>
                <w:noProof/>
                <w:webHidden/>
              </w:rPr>
              <w:tab/>
            </w:r>
            <w:r w:rsidR="00DF3E41">
              <w:rPr>
                <w:noProof/>
                <w:webHidden/>
              </w:rPr>
              <w:fldChar w:fldCharType="begin"/>
            </w:r>
            <w:r w:rsidR="00DF3E41">
              <w:rPr>
                <w:noProof/>
                <w:webHidden/>
              </w:rPr>
              <w:instrText xml:space="preserve"> PAGEREF _Toc51302054 \h </w:instrText>
            </w:r>
            <w:r w:rsidR="00DF3E41">
              <w:rPr>
                <w:noProof/>
                <w:webHidden/>
              </w:rPr>
            </w:r>
            <w:r w:rsidR="00DF3E41">
              <w:rPr>
                <w:noProof/>
                <w:webHidden/>
              </w:rPr>
              <w:fldChar w:fldCharType="separate"/>
            </w:r>
            <w:r w:rsidR="00DF3E41">
              <w:rPr>
                <w:noProof/>
                <w:webHidden/>
              </w:rPr>
              <w:t>24</w:t>
            </w:r>
            <w:r w:rsidR="00DF3E41">
              <w:rPr>
                <w:noProof/>
                <w:webHidden/>
              </w:rPr>
              <w:fldChar w:fldCharType="end"/>
            </w:r>
          </w:hyperlink>
        </w:p>
        <w:p w14:paraId="4584681E" w14:textId="77777777" w:rsidR="00630554" w:rsidRPr="00E960C9" w:rsidRDefault="00630554" w:rsidP="00904117">
          <w:pPr>
            <w:spacing w:before="120" w:after="120"/>
            <w:jc w:val="both"/>
            <w:rPr>
              <w:sz w:val="22"/>
              <w:szCs w:val="22"/>
            </w:rPr>
          </w:pPr>
          <w:r w:rsidRPr="00E960C9">
            <w:rPr>
              <w:b/>
              <w:bCs/>
              <w:sz w:val="22"/>
              <w:szCs w:val="22"/>
            </w:rPr>
            <w:fldChar w:fldCharType="end"/>
          </w:r>
        </w:p>
      </w:sdtContent>
    </w:sdt>
    <w:p w14:paraId="039B11D5" w14:textId="34E6CA0C" w:rsidR="00FB67CA" w:rsidRPr="00E960C9" w:rsidRDefault="00630554" w:rsidP="00904117">
      <w:pPr>
        <w:pStyle w:val="Heading2"/>
        <w:spacing w:before="120" w:after="120"/>
        <w:jc w:val="both"/>
        <w:rPr>
          <w:rFonts w:ascii="Times New Roman" w:hAnsi="Times New Roman" w:cs="Times New Roman"/>
          <w:sz w:val="22"/>
          <w:szCs w:val="22"/>
        </w:rPr>
      </w:pPr>
      <w:r w:rsidRPr="00E960C9">
        <w:rPr>
          <w:rFonts w:ascii="Times New Roman" w:hAnsi="Times New Roman" w:cs="Times New Roman"/>
          <w:sz w:val="22"/>
          <w:szCs w:val="22"/>
        </w:rPr>
        <w:br w:type="page"/>
      </w:r>
      <w:bookmarkStart w:id="0" w:name="_Toc51302027"/>
      <w:r w:rsidR="0087416A" w:rsidRPr="00E960C9">
        <w:rPr>
          <w:rFonts w:ascii="Times New Roman" w:hAnsi="Times New Roman" w:cs="Times New Roman"/>
          <w:sz w:val="22"/>
          <w:szCs w:val="22"/>
        </w:rPr>
        <w:lastRenderedPageBreak/>
        <w:t>Abbreviations</w:t>
      </w:r>
      <w:bookmarkEnd w:id="0"/>
    </w:p>
    <w:tbl>
      <w:tblPr>
        <w:tblStyle w:val="TableGrid"/>
        <w:tblW w:w="0" w:type="auto"/>
        <w:tblLook w:val="04A0" w:firstRow="1" w:lastRow="0" w:firstColumn="1" w:lastColumn="0" w:noHBand="0" w:noVBand="1"/>
      </w:tblPr>
      <w:tblGrid>
        <w:gridCol w:w="1838"/>
        <w:gridCol w:w="7512"/>
      </w:tblGrid>
      <w:tr w:rsidR="00850806" w:rsidRPr="00E960C9" w14:paraId="32438388" w14:textId="77777777" w:rsidTr="00347CC4">
        <w:tc>
          <w:tcPr>
            <w:tcW w:w="1838" w:type="dxa"/>
          </w:tcPr>
          <w:p w14:paraId="51197FF9" w14:textId="3D9D134D" w:rsidR="00850806" w:rsidRPr="00E960C9" w:rsidRDefault="00850806" w:rsidP="00904117">
            <w:pPr>
              <w:spacing w:before="120" w:after="120"/>
              <w:jc w:val="both"/>
              <w:rPr>
                <w:sz w:val="22"/>
                <w:szCs w:val="22"/>
              </w:rPr>
            </w:pPr>
            <w:r w:rsidRPr="00E960C9">
              <w:rPr>
                <w:sz w:val="22"/>
                <w:szCs w:val="22"/>
              </w:rPr>
              <w:t>CRPD</w:t>
            </w:r>
          </w:p>
        </w:tc>
        <w:tc>
          <w:tcPr>
            <w:tcW w:w="7512" w:type="dxa"/>
          </w:tcPr>
          <w:p w14:paraId="5A4F60DA" w14:textId="144EFA3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Convention on the Rights of Persons with Disabilities  </w:t>
            </w:r>
          </w:p>
        </w:tc>
      </w:tr>
      <w:tr w:rsidR="00850806" w:rsidRPr="00E960C9" w14:paraId="692BBF4D" w14:textId="77777777" w:rsidTr="00347CC4">
        <w:tc>
          <w:tcPr>
            <w:tcW w:w="1838" w:type="dxa"/>
          </w:tcPr>
          <w:p w14:paraId="6319C74E" w14:textId="77777777" w:rsidR="00850806" w:rsidRPr="00E960C9" w:rsidRDefault="00850806" w:rsidP="00904117">
            <w:pPr>
              <w:spacing w:before="120" w:after="120"/>
              <w:jc w:val="both"/>
              <w:rPr>
                <w:sz w:val="22"/>
                <w:szCs w:val="22"/>
              </w:rPr>
            </w:pPr>
            <w:r w:rsidRPr="00E960C9">
              <w:rPr>
                <w:sz w:val="22"/>
                <w:szCs w:val="22"/>
              </w:rPr>
              <w:t>CCG</w:t>
            </w:r>
          </w:p>
        </w:tc>
        <w:tc>
          <w:tcPr>
            <w:tcW w:w="7512" w:type="dxa"/>
          </w:tcPr>
          <w:p w14:paraId="6EFFDF70"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Criminal Code of Georgia</w:t>
            </w:r>
          </w:p>
        </w:tc>
      </w:tr>
      <w:tr w:rsidR="00850806" w:rsidRPr="00E960C9" w14:paraId="1C701EE2" w14:textId="77777777" w:rsidTr="00347CC4">
        <w:tc>
          <w:tcPr>
            <w:tcW w:w="1838" w:type="dxa"/>
          </w:tcPr>
          <w:p w14:paraId="4E56D14D" w14:textId="77777777" w:rsidR="00850806" w:rsidRPr="00E960C9" w:rsidRDefault="00850806" w:rsidP="00904117">
            <w:pPr>
              <w:spacing w:before="120" w:after="120"/>
              <w:jc w:val="both"/>
              <w:rPr>
                <w:sz w:val="22"/>
                <w:szCs w:val="22"/>
              </w:rPr>
            </w:pPr>
            <w:proofErr w:type="spellStart"/>
            <w:r w:rsidRPr="00E960C9">
              <w:rPr>
                <w:sz w:val="22"/>
                <w:szCs w:val="22"/>
              </w:rPr>
              <w:t>CoE</w:t>
            </w:r>
            <w:proofErr w:type="spellEnd"/>
          </w:p>
        </w:tc>
        <w:tc>
          <w:tcPr>
            <w:tcW w:w="7512" w:type="dxa"/>
          </w:tcPr>
          <w:p w14:paraId="73A85920"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Council of Europe </w:t>
            </w:r>
          </w:p>
        </w:tc>
      </w:tr>
      <w:tr w:rsidR="00850806" w:rsidRPr="00E960C9" w14:paraId="1545C45D" w14:textId="77777777" w:rsidTr="00347CC4">
        <w:tc>
          <w:tcPr>
            <w:tcW w:w="1838" w:type="dxa"/>
          </w:tcPr>
          <w:p w14:paraId="145D7A21" w14:textId="77777777" w:rsidR="00850806" w:rsidRPr="00E960C9" w:rsidRDefault="00850806" w:rsidP="00904117">
            <w:pPr>
              <w:spacing w:before="120" w:after="120"/>
              <w:jc w:val="both"/>
              <w:rPr>
                <w:sz w:val="22"/>
                <w:szCs w:val="22"/>
              </w:rPr>
            </w:pPr>
            <w:r w:rsidRPr="00E960C9">
              <w:rPr>
                <w:sz w:val="22"/>
                <w:szCs w:val="22"/>
              </w:rPr>
              <w:t>CSOs</w:t>
            </w:r>
          </w:p>
        </w:tc>
        <w:tc>
          <w:tcPr>
            <w:tcW w:w="7512" w:type="dxa"/>
          </w:tcPr>
          <w:p w14:paraId="6122F60A" w14:textId="0C25F448" w:rsidR="00850806" w:rsidRPr="00E960C9" w:rsidRDefault="00850806" w:rsidP="00904117">
            <w:pPr>
              <w:spacing w:before="120" w:after="120"/>
              <w:jc w:val="both"/>
              <w:rPr>
                <w:sz w:val="22"/>
                <w:szCs w:val="22"/>
              </w:rPr>
            </w:pPr>
            <w:r w:rsidRPr="00E960C9">
              <w:rPr>
                <w:sz w:val="22"/>
                <w:szCs w:val="22"/>
              </w:rPr>
              <w:t xml:space="preserve">Civil society </w:t>
            </w:r>
            <w:r w:rsidR="00C0157F" w:rsidRPr="00E960C9">
              <w:rPr>
                <w:sz w:val="22"/>
                <w:szCs w:val="22"/>
              </w:rPr>
              <w:t>organisation</w:t>
            </w:r>
            <w:r w:rsidRPr="00E960C9">
              <w:rPr>
                <w:sz w:val="22"/>
                <w:szCs w:val="22"/>
              </w:rPr>
              <w:t>s</w:t>
            </w:r>
          </w:p>
        </w:tc>
      </w:tr>
      <w:tr w:rsidR="00850806" w:rsidRPr="00E960C9" w14:paraId="53E13BD7" w14:textId="77777777" w:rsidTr="00347CC4">
        <w:tc>
          <w:tcPr>
            <w:tcW w:w="1838" w:type="dxa"/>
          </w:tcPr>
          <w:p w14:paraId="308AD863" w14:textId="77777777" w:rsidR="00850806" w:rsidRPr="00E960C9" w:rsidRDefault="00850806" w:rsidP="00904117">
            <w:pPr>
              <w:spacing w:before="120" w:after="120"/>
              <w:jc w:val="both"/>
              <w:rPr>
                <w:sz w:val="22"/>
                <w:szCs w:val="22"/>
              </w:rPr>
            </w:pPr>
            <w:r w:rsidRPr="00E960C9">
              <w:rPr>
                <w:sz w:val="22"/>
                <w:szCs w:val="22"/>
              </w:rPr>
              <w:t>DV</w:t>
            </w:r>
          </w:p>
        </w:tc>
        <w:tc>
          <w:tcPr>
            <w:tcW w:w="7512" w:type="dxa"/>
          </w:tcPr>
          <w:p w14:paraId="599C1512"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Domestic violence </w:t>
            </w:r>
          </w:p>
        </w:tc>
      </w:tr>
      <w:tr w:rsidR="00850806" w:rsidRPr="00E960C9" w14:paraId="54825DA1" w14:textId="77777777" w:rsidTr="00347CC4">
        <w:tc>
          <w:tcPr>
            <w:tcW w:w="1838" w:type="dxa"/>
          </w:tcPr>
          <w:p w14:paraId="02C17AF4" w14:textId="77777777" w:rsidR="00850806" w:rsidRPr="00E960C9" w:rsidRDefault="00850806" w:rsidP="00904117">
            <w:pPr>
              <w:spacing w:before="120" w:after="120"/>
              <w:jc w:val="both"/>
              <w:rPr>
                <w:sz w:val="22"/>
                <w:szCs w:val="22"/>
              </w:rPr>
            </w:pPr>
            <w:r w:rsidRPr="00E960C9">
              <w:rPr>
                <w:sz w:val="22"/>
                <w:szCs w:val="22"/>
              </w:rPr>
              <w:t>EUMM</w:t>
            </w:r>
          </w:p>
        </w:tc>
        <w:tc>
          <w:tcPr>
            <w:tcW w:w="7512" w:type="dxa"/>
          </w:tcPr>
          <w:p w14:paraId="53969FEE"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EU Monitoring Mission in Georgia </w:t>
            </w:r>
          </w:p>
        </w:tc>
      </w:tr>
      <w:tr w:rsidR="00850806" w:rsidRPr="00E960C9" w14:paraId="3A2A20F6" w14:textId="77777777" w:rsidTr="00347CC4">
        <w:tc>
          <w:tcPr>
            <w:tcW w:w="1838" w:type="dxa"/>
          </w:tcPr>
          <w:p w14:paraId="284ED71C" w14:textId="77777777" w:rsidR="00850806" w:rsidRPr="00E960C9" w:rsidRDefault="00850806" w:rsidP="00904117">
            <w:pPr>
              <w:spacing w:before="120" w:after="120"/>
              <w:jc w:val="both"/>
              <w:rPr>
                <w:sz w:val="22"/>
                <w:szCs w:val="22"/>
              </w:rPr>
            </w:pPr>
            <w:r w:rsidRPr="00E960C9">
              <w:rPr>
                <w:sz w:val="22"/>
                <w:szCs w:val="22"/>
              </w:rPr>
              <w:t>GEL</w:t>
            </w:r>
          </w:p>
        </w:tc>
        <w:tc>
          <w:tcPr>
            <w:tcW w:w="7512" w:type="dxa"/>
          </w:tcPr>
          <w:p w14:paraId="739F1D0B"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Georgian </w:t>
            </w:r>
            <w:proofErr w:type="spellStart"/>
            <w:r w:rsidRPr="00E960C9">
              <w:rPr>
                <w:rFonts w:eastAsia="Calibri"/>
                <w:sz w:val="22"/>
                <w:szCs w:val="22"/>
              </w:rPr>
              <w:t>Lari</w:t>
            </w:r>
            <w:proofErr w:type="spellEnd"/>
            <w:r w:rsidRPr="00E960C9">
              <w:rPr>
                <w:rFonts w:eastAsia="Calibri"/>
                <w:sz w:val="22"/>
                <w:szCs w:val="22"/>
              </w:rPr>
              <w:t xml:space="preserve"> </w:t>
            </w:r>
          </w:p>
        </w:tc>
      </w:tr>
      <w:tr w:rsidR="00850806" w:rsidRPr="00E960C9" w14:paraId="348BE2F6" w14:textId="77777777" w:rsidTr="00347CC4">
        <w:tc>
          <w:tcPr>
            <w:tcW w:w="1838" w:type="dxa"/>
          </w:tcPr>
          <w:p w14:paraId="7D3F61D8" w14:textId="77777777" w:rsidR="00850806" w:rsidRPr="00E960C9" w:rsidRDefault="00850806" w:rsidP="00904117">
            <w:pPr>
              <w:spacing w:before="120" w:after="120"/>
              <w:jc w:val="both"/>
              <w:rPr>
                <w:sz w:val="22"/>
                <w:szCs w:val="22"/>
              </w:rPr>
            </w:pPr>
            <w:r w:rsidRPr="00E960C9">
              <w:rPr>
                <w:sz w:val="22"/>
                <w:szCs w:val="22"/>
              </w:rPr>
              <w:t>GID</w:t>
            </w:r>
          </w:p>
        </w:tc>
        <w:tc>
          <w:tcPr>
            <w:tcW w:w="7512" w:type="dxa"/>
          </w:tcPr>
          <w:p w14:paraId="03998B91"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Geneva International Discussions </w:t>
            </w:r>
          </w:p>
        </w:tc>
      </w:tr>
      <w:tr w:rsidR="00850806" w:rsidRPr="00E960C9" w14:paraId="38C9B9DC" w14:textId="77777777" w:rsidTr="00347CC4">
        <w:tc>
          <w:tcPr>
            <w:tcW w:w="1838" w:type="dxa"/>
          </w:tcPr>
          <w:p w14:paraId="758ED46D" w14:textId="77777777" w:rsidR="00850806" w:rsidRPr="00E960C9" w:rsidRDefault="00850806" w:rsidP="00904117">
            <w:pPr>
              <w:spacing w:before="120" w:after="120"/>
              <w:jc w:val="both"/>
              <w:rPr>
                <w:sz w:val="22"/>
                <w:szCs w:val="22"/>
              </w:rPr>
            </w:pPr>
            <w:proofErr w:type="spellStart"/>
            <w:r w:rsidRPr="00E960C9">
              <w:rPr>
                <w:sz w:val="22"/>
                <w:szCs w:val="22"/>
              </w:rPr>
              <w:t>GoG</w:t>
            </w:r>
            <w:proofErr w:type="spellEnd"/>
          </w:p>
        </w:tc>
        <w:tc>
          <w:tcPr>
            <w:tcW w:w="7512" w:type="dxa"/>
          </w:tcPr>
          <w:p w14:paraId="03784A5E" w14:textId="77777777" w:rsidR="00850806" w:rsidRPr="00E960C9" w:rsidRDefault="00850806" w:rsidP="00904117">
            <w:pPr>
              <w:spacing w:before="120" w:after="120"/>
              <w:jc w:val="both"/>
              <w:rPr>
                <w:sz w:val="22"/>
                <w:szCs w:val="22"/>
              </w:rPr>
            </w:pPr>
            <w:r w:rsidRPr="00E960C9">
              <w:rPr>
                <w:sz w:val="22"/>
                <w:szCs w:val="22"/>
              </w:rPr>
              <w:t xml:space="preserve">Government of Georgia </w:t>
            </w:r>
          </w:p>
        </w:tc>
      </w:tr>
      <w:tr w:rsidR="00850806" w:rsidRPr="00E960C9" w14:paraId="67B61C40" w14:textId="77777777" w:rsidTr="00347CC4">
        <w:tc>
          <w:tcPr>
            <w:tcW w:w="1838" w:type="dxa"/>
          </w:tcPr>
          <w:p w14:paraId="2DEC123A" w14:textId="77777777" w:rsidR="00850806" w:rsidRPr="00E960C9" w:rsidRDefault="00850806" w:rsidP="00904117">
            <w:pPr>
              <w:spacing w:before="120" w:after="120"/>
              <w:jc w:val="both"/>
              <w:rPr>
                <w:sz w:val="22"/>
                <w:szCs w:val="22"/>
              </w:rPr>
            </w:pPr>
            <w:r w:rsidRPr="00E960C9">
              <w:rPr>
                <w:sz w:val="22"/>
                <w:szCs w:val="22"/>
              </w:rPr>
              <w:t>IDP</w:t>
            </w:r>
          </w:p>
        </w:tc>
        <w:tc>
          <w:tcPr>
            <w:tcW w:w="7512" w:type="dxa"/>
          </w:tcPr>
          <w:p w14:paraId="548404B9" w14:textId="77777777" w:rsidR="00850806" w:rsidRPr="00E960C9" w:rsidRDefault="00850806" w:rsidP="00904117">
            <w:pPr>
              <w:spacing w:before="120" w:after="120"/>
              <w:jc w:val="both"/>
              <w:rPr>
                <w:sz w:val="22"/>
                <w:szCs w:val="22"/>
              </w:rPr>
            </w:pPr>
            <w:r w:rsidRPr="00E960C9">
              <w:rPr>
                <w:rFonts w:eastAsia="Calibri"/>
                <w:sz w:val="22"/>
                <w:szCs w:val="22"/>
              </w:rPr>
              <w:t>Internally displaced persons</w:t>
            </w:r>
          </w:p>
        </w:tc>
      </w:tr>
      <w:tr w:rsidR="00850806" w:rsidRPr="00E960C9" w14:paraId="167D6838" w14:textId="77777777" w:rsidTr="00347CC4">
        <w:tc>
          <w:tcPr>
            <w:tcW w:w="1838" w:type="dxa"/>
          </w:tcPr>
          <w:p w14:paraId="5066A46E" w14:textId="77777777" w:rsidR="00850806" w:rsidRPr="00E960C9" w:rsidRDefault="00850806" w:rsidP="00904117">
            <w:pPr>
              <w:spacing w:before="120" w:after="120"/>
              <w:jc w:val="both"/>
              <w:rPr>
                <w:sz w:val="22"/>
                <w:szCs w:val="22"/>
              </w:rPr>
            </w:pPr>
            <w:r w:rsidRPr="00E960C9">
              <w:rPr>
                <w:sz w:val="22"/>
                <w:szCs w:val="22"/>
              </w:rPr>
              <w:t>IPRM</w:t>
            </w:r>
          </w:p>
        </w:tc>
        <w:tc>
          <w:tcPr>
            <w:tcW w:w="7512" w:type="dxa"/>
          </w:tcPr>
          <w:p w14:paraId="0CBF005B"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Incident Prevention and Response Mechanism</w:t>
            </w:r>
          </w:p>
        </w:tc>
      </w:tr>
      <w:tr w:rsidR="00850806" w:rsidRPr="00E960C9" w14:paraId="7B7FE420" w14:textId="77777777" w:rsidTr="00347CC4">
        <w:tc>
          <w:tcPr>
            <w:tcW w:w="1838" w:type="dxa"/>
          </w:tcPr>
          <w:p w14:paraId="6413F8EB" w14:textId="77777777" w:rsidR="00850806" w:rsidRPr="00E960C9" w:rsidRDefault="00850806" w:rsidP="00904117">
            <w:pPr>
              <w:spacing w:before="120" w:after="120"/>
              <w:jc w:val="both"/>
              <w:rPr>
                <w:sz w:val="22"/>
                <w:szCs w:val="22"/>
              </w:rPr>
            </w:pPr>
            <w:r w:rsidRPr="00E960C9">
              <w:rPr>
                <w:sz w:val="22"/>
                <w:szCs w:val="22"/>
              </w:rPr>
              <w:t>LAS</w:t>
            </w:r>
          </w:p>
        </w:tc>
        <w:tc>
          <w:tcPr>
            <w:tcW w:w="7512" w:type="dxa"/>
          </w:tcPr>
          <w:p w14:paraId="6D4141A2"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Legal Aid Service </w:t>
            </w:r>
          </w:p>
        </w:tc>
      </w:tr>
      <w:tr w:rsidR="00850806" w:rsidRPr="00E960C9" w14:paraId="4CB0D006" w14:textId="77777777" w:rsidTr="00347CC4">
        <w:tc>
          <w:tcPr>
            <w:tcW w:w="1838" w:type="dxa"/>
          </w:tcPr>
          <w:p w14:paraId="745F9EA0" w14:textId="77777777" w:rsidR="00850806" w:rsidRPr="00E960C9" w:rsidRDefault="00850806" w:rsidP="00904117">
            <w:pPr>
              <w:spacing w:before="120" w:after="120"/>
              <w:jc w:val="both"/>
              <w:rPr>
                <w:sz w:val="22"/>
                <w:szCs w:val="22"/>
              </w:rPr>
            </w:pPr>
            <w:r w:rsidRPr="00E960C9">
              <w:rPr>
                <w:sz w:val="22"/>
                <w:szCs w:val="22"/>
              </w:rPr>
              <w:t>LEPL</w:t>
            </w:r>
          </w:p>
        </w:tc>
        <w:tc>
          <w:tcPr>
            <w:tcW w:w="7512" w:type="dxa"/>
          </w:tcPr>
          <w:p w14:paraId="13555BD6" w14:textId="77777777" w:rsidR="00850806" w:rsidRPr="00E960C9" w:rsidRDefault="00850806" w:rsidP="00904117">
            <w:pPr>
              <w:spacing w:before="120" w:after="120"/>
              <w:jc w:val="both"/>
              <w:rPr>
                <w:rFonts w:eastAsia="Calibri"/>
                <w:sz w:val="22"/>
                <w:szCs w:val="22"/>
              </w:rPr>
            </w:pPr>
            <w:r w:rsidRPr="00E960C9">
              <w:rPr>
                <w:sz w:val="22"/>
                <w:szCs w:val="22"/>
              </w:rPr>
              <w:t>Legal Entity of Public Law</w:t>
            </w:r>
          </w:p>
        </w:tc>
      </w:tr>
      <w:tr w:rsidR="00850806" w:rsidRPr="00E960C9" w14:paraId="4CE39557" w14:textId="77777777" w:rsidTr="00347CC4">
        <w:tc>
          <w:tcPr>
            <w:tcW w:w="1838" w:type="dxa"/>
          </w:tcPr>
          <w:p w14:paraId="36294142" w14:textId="77777777" w:rsidR="00850806" w:rsidRPr="00E960C9" w:rsidRDefault="00850806" w:rsidP="00904117">
            <w:pPr>
              <w:spacing w:before="120" w:after="120"/>
              <w:jc w:val="both"/>
              <w:rPr>
                <w:sz w:val="22"/>
                <w:szCs w:val="22"/>
              </w:rPr>
            </w:pPr>
            <w:r w:rsidRPr="00E960C9">
              <w:rPr>
                <w:rFonts w:eastAsia="Calibri"/>
                <w:sz w:val="22"/>
                <w:szCs w:val="22"/>
              </w:rPr>
              <w:t>MAPPA</w:t>
            </w:r>
          </w:p>
        </w:tc>
        <w:tc>
          <w:tcPr>
            <w:tcW w:w="7512" w:type="dxa"/>
          </w:tcPr>
          <w:p w14:paraId="67B95AF7"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Multi-Agency Public Protection Arrangement </w:t>
            </w:r>
          </w:p>
        </w:tc>
      </w:tr>
      <w:tr w:rsidR="00850806" w:rsidRPr="00E960C9" w14:paraId="4A133910" w14:textId="77777777" w:rsidTr="00347CC4">
        <w:tc>
          <w:tcPr>
            <w:tcW w:w="1838" w:type="dxa"/>
          </w:tcPr>
          <w:p w14:paraId="51E4FBC1" w14:textId="77777777" w:rsidR="00850806" w:rsidRPr="00E960C9" w:rsidRDefault="00850806" w:rsidP="00904117">
            <w:pPr>
              <w:spacing w:before="120" w:after="120"/>
              <w:jc w:val="both"/>
              <w:rPr>
                <w:sz w:val="22"/>
                <w:szCs w:val="22"/>
              </w:rPr>
            </w:pPr>
            <w:r w:rsidRPr="00E960C9">
              <w:rPr>
                <w:sz w:val="22"/>
                <w:szCs w:val="22"/>
              </w:rPr>
              <w:t>MFA</w:t>
            </w:r>
          </w:p>
        </w:tc>
        <w:tc>
          <w:tcPr>
            <w:tcW w:w="7512" w:type="dxa"/>
          </w:tcPr>
          <w:p w14:paraId="589AEA16" w14:textId="47C1F715"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Ministry of </w:t>
            </w:r>
            <w:r w:rsidR="0069054E" w:rsidRPr="00E960C9">
              <w:rPr>
                <w:rFonts w:eastAsia="Calibri"/>
                <w:sz w:val="22"/>
                <w:szCs w:val="22"/>
              </w:rPr>
              <w:t>Foreign</w:t>
            </w:r>
            <w:r w:rsidRPr="00E960C9">
              <w:rPr>
                <w:rFonts w:eastAsia="Calibri"/>
                <w:sz w:val="22"/>
                <w:szCs w:val="22"/>
              </w:rPr>
              <w:t xml:space="preserve"> </w:t>
            </w:r>
            <w:r w:rsidR="0069054E" w:rsidRPr="00E960C9">
              <w:rPr>
                <w:rFonts w:eastAsia="Calibri"/>
                <w:sz w:val="22"/>
                <w:szCs w:val="22"/>
              </w:rPr>
              <w:t>Affairs</w:t>
            </w:r>
          </w:p>
        </w:tc>
      </w:tr>
      <w:tr w:rsidR="00850806" w:rsidRPr="00E960C9" w14:paraId="06CA7966" w14:textId="77777777" w:rsidTr="00347CC4">
        <w:tc>
          <w:tcPr>
            <w:tcW w:w="1838" w:type="dxa"/>
          </w:tcPr>
          <w:p w14:paraId="5E810A4E" w14:textId="77777777" w:rsidR="00850806" w:rsidRPr="00E960C9" w:rsidRDefault="00850806" w:rsidP="00904117">
            <w:pPr>
              <w:spacing w:before="120" w:after="120"/>
              <w:jc w:val="both"/>
              <w:rPr>
                <w:sz w:val="22"/>
                <w:szCs w:val="22"/>
              </w:rPr>
            </w:pPr>
            <w:r w:rsidRPr="00E960C9">
              <w:rPr>
                <w:sz w:val="22"/>
                <w:szCs w:val="22"/>
              </w:rPr>
              <w:t>MIA</w:t>
            </w:r>
          </w:p>
        </w:tc>
        <w:tc>
          <w:tcPr>
            <w:tcW w:w="7512" w:type="dxa"/>
          </w:tcPr>
          <w:p w14:paraId="177536F8"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 xml:space="preserve">Ministry of Internal Affairs of Georgia </w:t>
            </w:r>
          </w:p>
        </w:tc>
      </w:tr>
      <w:tr w:rsidR="00850806" w:rsidRPr="00E960C9" w14:paraId="7A5C9F91" w14:textId="77777777" w:rsidTr="00347CC4">
        <w:tc>
          <w:tcPr>
            <w:tcW w:w="1838" w:type="dxa"/>
          </w:tcPr>
          <w:p w14:paraId="20A00577" w14:textId="77777777" w:rsidR="00850806" w:rsidRPr="00E960C9" w:rsidRDefault="00850806" w:rsidP="00904117">
            <w:pPr>
              <w:spacing w:before="120" w:after="120"/>
              <w:jc w:val="both"/>
              <w:rPr>
                <w:sz w:val="22"/>
                <w:szCs w:val="22"/>
              </w:rPr>
            </w:pPr>
            <w:r w:rsidRPr="00E960C9">
              <w:rPr>
                <w:sz w:val="22"/>
                <w:szCs w:val="22"/>
              </w:rPr>
              <w:t>MOJ</w:t>
            </w:r>
          </w:p>
        </w:tc>
        <w:tc>
          <w:tcPr>
            <w:tcW w:w="7512" w:type="dxa"/>
          </w:tcPr>
          <w:p w14:paraId="35FE5DAE"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Ministry of Justice</w:t>
            </w:r>
          </w:p>
        </w:tc>
      </w:tr>
      <w:tr w:rsidR="00850806" w:rsidRPr="00E960C9" w14:paraId="6B749B64" w14:textId="77777777" w:rsidTr="00347CC4">
        <w:tc>
          <w:tcPr>
            <w:tcW w:w="1838" w:type="dxa"/>
          </w:tcPr>
          <w:p w14:paraId="4E628931" w14:textId="77777777" w:rsidR="00850806" w:rsidRPr="00E960C9" w:rsidRDefault="00850806" w:rsidP="00904117">
            <w:pPr>
              <w:spacing w:before="120" w:after="120"/>
              <w:jc w:val="both"/>
              <w:rPr>
                <w:sz w:val="22"/>
                <w:szCs w:val="22"/>
              </w:rPr>
            </w:pPr>
            <w:r w:rsidRPr="00E960C9">
              <w:rPr>
                <w:sz w:val="22"/>
                <w:szCs w:val="22"/>
              </w:rPr>
              <w:t>NGO</w:t>
            </w:r>
          </w:p>
        </w:tc>
        <w:tc>
          <w:tcPr>
            <w:tcW w:w="7512" w:type="dxa"/>
          </w:tcPr>
          <w:p w14:paraId="7385B4C3" w14:textId="271920F6" w:rsidR="00850806" w:rsidRPr="00E960C9" w:rsidRDefault="00850806" w:rsidP="00904117">
            <w:pPr>
              <w:spacing w:before="120" w:after="120"/>
              <w:jc w:val="both"/>
              <w:rPr>
                <w:sz w:val="22"/>
                <w:szCs w:val="22"/>
              </w:rPr>
            </w:pPr>
            <w:r w:rsidRPr="00E960C9">
              <w:rPr>
                <w:rFonts w:eastAsia="Calibri"/>
                <w:sz w:val="22"/>
                <w:szCs w:val="22"/>
              </w:rPr>
              <w:t xml:space="preserve">Non-governmental </w:t>
            </w:r>
            <w:r w:rsidR="00C0157F" w:rsidRPr="00E960C9">
              <w:rPr>
                <w:rFonts w:eastAsia="Calibri"/>
                <w:sz w:val="22"/>
                <w:szCs w:val="22"/>
              </w:rPr>
              <w:t>organisation</w:t>
            </w:r>
            <w:r w:rsidRPr="00E960C9">
              <w:rPr>
                <w:rFonts w:eastAsia="Calibri"/>
                <w:sz w:val="22"/>
                <w:szCs w:val="22"/>
              </w:rPr>
              <w:t>s</w:t>
            </w:r>
          </w:p>
        </w:tc>
      </w:tr>
      <w:tr w:rsidR="00850806" w:rsidRPr="00E960C9" w14:paraId="23F04A31" w14:textId="77777777" w:rsidTr="00347CC4">
        <w:tc>
          <w:tcPr>
            <w:tcW w:w="1838" w:type="dxa"/>
          </w:tcPr>
          <w:p w14:paraId="737A4396" w14:textId="77777777" w:rsidR="00850806" w:rsidRPr="00E960C9" w:rsidRDefault="00850806" w:rsidP="00904117">
            <w:pPr>
              <w:spacing w:before="120" w:after="120"/>
              <w:jc w:val="both"/>
              <w:rPr>
                <w:sz w:val="22"/>
                <w:szCs w:val="22"/>
              </w:rPr>
            </w:pPr>
            <w:r w:rsidRPr="00E960C9">
              <w:rPr>
                <w:sz w:val="22"/>
                <w:szCs w:val="22"/>
              </w:rPr>
              <w:t>PDO</w:t>
            </w:r>
          </w:p>
        </w:tc>
        <w:tc>
          <w:tcPr>
            <w:tcW w:w="7512" w:type="dxa"/>
          </w:tcPr>
          <w:p w14:paraId="347FBFDD" w14:textId="77777777" w:rsidR="00850806" w:rsidRPr="00E960C9" w:rsidRDefault="00850806" w:rsidP="00904117">
            <w:pPr>
              <w:spacing w:before="120" w:after="120"/>
              <w:jc w:val="both"/>
              <w:rPr>
                <w:sz w:val="22"/>
                <w:szCs w:val="22"/>
              </w:rPr>
            </w:pPr>
            <w:r w:rsidRPr="00E960C9">
              <w:rPr>
                <w:rFonts w:eastAsia="Calibri"/>
                <w:sz w:val="22"/>
                <w:szCs w:val="22"/>
              </w:rPr>
              <w:t>The Office of Public Defender</w:t>
            </w:r>
          </w:p>
        </w:tc>
      </w:tr>
      <w:tr w:rsidR="00850806" w:rsidRPr="00E960C9" w14:paraId="03113567" w14:textId="77777777" w:rsidTr="00347CC4">
        <w:tc>
          <w:tcPr>
            <w:tcW w:w="1838" w:type="dxa"/>
          </w:tcPr>
          <w:p w14:paraId="545B0986" w14:textId="77777777" w:rsidR="00850806" w:rsidRPr="00E960C9" w:rsidRDefault="00850806" w:rsidP="00904117">
            <w:pPr>
              <w:spacing w:before="120" w:after="120"/>
              <w:jc w:val="both"/>
              <w:rPr>
                <w:sz w:val="22"/>
                <w:szCs w:val="22"/>
              </w:rPr>
            </w:pPr>
            <w:r w:rsidRPr="00E960C9">
              <w:rPr>
                <w:sz w:val="22"/>
                <w:szCs w:val="22"/>
              </w:rPr>
              <w:t>PDO</w:t>
            </w:r>
          </w:p>
        </w:tc>
        <w:tc>
          <w:tcPr>
            <w:tcW w:w="7512" w:type="dxa"/>
          </w:tcPr>
          <w:p w14:paraId="43893DB6" w14:textId="77777777" w:rsidR="00850806" w:rsidRPr="00E960C9" w:rsidRDefault="00850806" w:rsidP="00904117">
            <w:pPr>
              <w:spacing w:before="120" w:after="120"/>
              <w:jc w:val="both"/>
              <w:rPr>
                <w:rFonts w:eastAsia="Calibri"/>
                <w:sz w:val="22"/>
                <w:szCs w:val="22"/>
              </w:rPr>
            </w:pPr>
            <w:r w:rsidRPr="00E960C9">
              <w:rPr>
                <w:rFonts w:eastAsia="Calibri"/>
                <w:sz w:val="22"/>
                <w:szCs w:val="22"/>
              </w:rPr>
              <w:t>The Office of Public Defender of Georgia</w:t>
            </w:r>
          </w:p>
        </w:tc>
      </w:tr>
      <w:tr w:rsidR="00850806" w:rsidRPr="00E960C9" w14:paraId="27A46278" w14:textId="77777777" w:rsidTr="00347CC4">
        <w:tc>
          <w:tcPr>
            <w:tcW w:w="1838" w:type="dxa"/>
          </w:tcPr>
          <w:p w14:paraId="463A726E" w14:textId="77777777" w:rsidR="00850806" w:rsidRPr="00E960C9" w:rsidRDefault="00850806" w:rsidP="00904117">
            <w:pPr>
              <w:spacing w:before="120" w:after="120"/>
              <w:jc w:val="both"/>
              <w:rPr>
                <w:sz w:val="22"/>
                <w:szCs w:val="22"/>
              </w:rPr>
            </w:pPr>
            <w:proofErr w:type="spellStart"/>
            <w:r w:rsidRPr="00E960C9">
              <w:rPr>
                <w:sz w:val="22"/>
                <w:szCs w:val="22"/>
              </w:rPr>
              <w:t>PwDs</w:t>
            </w:r>
            <w:proofErr w:type="spellEnd"/>
          </w:p>
        </w:tc>
        <w:tc>
          <w:tcPr>
            <w:tcW w:w="7512" w:type="dxa"/>
          </w:tcPr>
          <w:p w14:paraId="4B44C0C7" w14:textId="77777777" w:rsidR="00850806" w:rsidRPr="00E960C9" w:rsidRDefault="00850806" w:rsidP="00904117">
            <w:pPr>
              <w:spacing w:before="120" w:after="120"/>
              <w:jc w:val="both"/>
              <w:rPr>
                <w:sz w:val="22"/>
                <w:szCs w:val="22"/>
              </w:rPr>
            </w:pPr>
            <w:r w:rsidRPr="00E960C9">
              <w:rPr>
                <w:sz w:val="22"/>
                <w:szCs w:val="22"/>
              </w:rPr>
              <w:t xml:space="preserve">Persons with disabilities </w:t>
            </w:r>
          </w:p>
        </w:tc>
      </w:tr>
      <w:tr w:rsidR="00850806" w:rsidRPr="00E960C9" w14:paraId="1F6F7E1C" w14:textId="77777777" w:rsidTr="00347CC4">
        <w:tc>
          <w:tcPr>
            <w:tcW w:w="1838" w:type="dxa"/>
          </w:tcPr>
          <w:p w14:paraId="686256B4" w14:textId="77777777" w:rsidR="00850806" w:rsidRPr="00E960C9" w:rsidRDefault="00850806" w:rsidP="00904117">
            <w:pPr>
              <w:spacing w:before="120" w:after="120"/>
              <w:jc w:val="both"/>
              <w:rPr>
                <w:sz w:val="22"/>
                <w:szCs w:val="22"/>
              </w:rPr>
            </w:pPr>
            <w:r w:rsidRPr="00E960C9">
              <w:rPr>
                <w:rFonts w:eastAsia="Calibri"/>
                <w:sz w:val="22"/>
                <w:szCs w:val="22"/>
              </w:rPr>
              <w:t>SIS</w:t>
            </w:r>
          </w:p>
        </w:tc>
        <w:tc>
          <w:tcPr>
            <w:tcW w:w="7512" w:type="dxa"/>
          </w:tcPr>
          <w:p w14:paraId="1FA531AD" w14:textId="77777777" w:rsidR="00850806" w:rsidRPr="00E960C9" w:rsidRDefault="00850806" w:rsidP="00904117">
            <w:pPr>
              <w:spacing w:before="120" w:after="120"/>
              <w:jc w:val="both"/>
              <w:rPr>
                <w:sz w:val="22"/>
                <w:szCs w:val="22"/>
              </w:rPr>
            </w:pPr>
            <w:r w:rsidRPr="00E960C9">
              <w:rPr>
                <w:rFonts w:eastAsia="Calibri"/>
                <w:sz w:val="22"/>
                <w:szCs w:val="22"/>
              </w:rPr>
              <w:t xml:space="preserve">the State Inspector Service  </w:t>
            </w:r>
          </w:p>
        </w:tc>
      </w:tr>
      <w:tr w:rsidR="00850806" w:rsidRPr="00E960C9" w14:paraId="62F263A4" w14:textId="77777777" w:rsidTr="00347CC4">
        <w:tc>
          <w:tcPr>
            <w:tcW w:w="1838" w:type="dxa"/>
          </w:tcPr>
          <w:p w14:paraId="1345BDDC" w14:textId="77777777" w:rsidR="00850806" w:rsidRPr="00E960C9" w:rsidRDefault="00850806" w:rsidP="00904117">
            <w:pPr>
              <w:spacing w:before="120" w:after="120"/>
              <w:jc w:val="both"/>
              <w:rPr>
                <w:sz w:val="22"/>
                <w:szCs w:val="22"/>
              </w:rPr>
            </w:pPr>
            <w:r w:rsidRPr="00E960C9">
              <w:rPr>
                <w:sz w:val="22"/>
                <w:szCs w:val="22"/>
              </w:rPr>
              <w:t>UPR</w:t>
            </w:r>
          </w:p>
        </w:tc>
        <w:tc>
          <w:tcPr>
            <w:tcW w:w="7512" w:type="dxa"/>
          </w:tcPr>
          <w:p w14:paraId="7591518C" w14:textId="77777777" w:rsidR="00850806" w:rsidRPr="00E960C9" w:rsidRDefault="00850806" w:rsidP="00904117">
            <w:pPr>
              <w:spacing w:before="120" w:after="120"/>
              <w:jc w:val="both"/>
              <w:rPr>
                <w:sz w:val="22"/>
                <w:szCs w:val="22"/>
              </w:rPr>
            </w:pPr>
            <w:r w:rsidRPr="00E960C9">
              <w:rPr>
                <w:sz w:val="22"/>
                <w:szCs w:val="22"/>
              </w:rPr>
              <w:t>Universal Periodic Review</w:t>
            </w:r>
          </w:p>
        </w:tc>
      </w:tr>
    </w:tbl>
    <w:p w14:paraId="14E20342" w14:textId="77777777" w:rsidR="0087416A" w:rsidRPr="00E960C9" w:rsidRDefault="0087416A" w:rsidP="00904117">
      <w:pPr>
        <w:spacing w:before="120" w:after="120"/>
        <w:jc w:val="both"/>
        <w:rPr>
          <w:sz w:val="22"/>
          <w:szCs w:val="22"/>
        </w:rPr>
      </w:pPr>
    </w:p>
    <w:p w14:paraId="6F07BE11" w14:textId="3F3D1334" w:rsidR="00FB67CA" w:rsidRPr="00E960C9" w:rsidRDefault="00A71B67" w:rsidP="00F603BD">
      <w:pPr>
        <w:pStyle w:val="Heading1"/>
        <w:pageBreakBefore/>
        <w:numPr>
          <w:ilvl w:val="0"/>
          <w:numId w:val="13"/>
        </w:numPr>
        <w:spacing w:before="120" w:after="120"/>
        <w:ind w:left="1077"/>
        <w:jc w:val="both"/>
        <w:rPr>
          <w:rFonts w:ascii="Times New Roman" w:hAnsi="Times New Roman" w:cs="Times New Roman"/>
          <w:sz w:val="22"/>
          <w:szCs w:val="22"/>
        </w:rPr>
      </w:pPr>
      <w:bookmarkStart w:id="1" w:name="_Toc51302028"/>
      <w:r w:rsidRPr="00E960C9">
        <w:rPr>
          <w:rFonts w:ascii="Times New Roman" w:hAnsi="Times New Roman" w:cs="Times New Roman"/>
          <w:sz w:val="22"/>
          <w:szCs w:val="22"/>
        </w:rPr>
        <w:lastRenderedPageBreak/>
        <w:t>Introduction</w:t>
      </w:r>
      <w:bookmarkEnd w:id="1"/>
    </w:p>
    <w:p w14:paraId="17137A07" w14:textId="77777777" w:rsidR="00230420" w:rsidRPr="00E960C9" w:rsidRDefault="00230420" w:rsidP="00904117">
      <w:pPr>
        <w:spacing w:before="120" w:after="120"/>
        <w:jc w:val="both"/>
        <w:rPr>
          <w:sz w:val="22"/>
          <w:szCs w:val="22"/>
        </w:rPr>
      </w:pPr>
    </w:p>
    <w:p w14:paraId="1963217C" w14:textId="6EC8A1F0" w:rsidR="00392D79" w:rsidRPr="00E960C9" w:rsidRDefault="00590DD4" w:rsidP="00392D79">
      <w:pPr>
        <w:spacing w:before="120" w:after="120"/>
        <w:jc w:val="both"/>
        <w:rPr>
          <w:sz w:val="22"/>
          <w:szCs w:val="22"/>
        </w:rPr>
      </w:pPr>
      <w:r w:rsidRPr="00E960C9">
        <w:rPr>
          <w:sz w:val="22"/>
          <w:szCs w:val="22"/>
        </w:rPr>
        <w:t>Th</w:t>
      </w:r>
      <w:r w:rsidR="00C0157F" w:rsidRPr="00E960C9">
        <w:rPr>
          <w:sz w:val="22"/>
          <w:szCs w:val="22"/>
        </w:rPr>
        <w:t xml:space="preserve">is report </w:t>
      </w:r>
      <w:r w:rsidRPr="00E960C9">
        <w:rPr>
          <w:sz w:val="22"/>
          <w:szCs w:val="22"/>
        </w:rPr>
        <w:t xml:space="preserve">is the national </w:t>
      </w:r>
      <w:r w:rsidR="0069054E" w:rsidRPr="00E960C9">
        <w:rPr>
          <w:sz w:val="22"/>
          <w:szCs w:val="22"/>
        </w:rPr>
        <w:t>report</w:t>
      </w:r>
      <w:r w:rsidRPr="00E960C9">
        <w:rPr>
          <w:sz w:val="22"/>
          <w:szCs w:val="22"/>
        </w:rPr>
        <w:t xml:space="preserve"> </w:t>
      </w:r>
      <w:r w:rsidR="0069054E" w:rsidRPr="00E960C9">
        <w:rPr>
          <w:sz w:val="22"/>
          <w:szCs w:val="22"/>
        </w:rPr>
        <w:t>of</w:t>
      </w:r>
      <w:r w:rsidRPr="00E960C9">
        <w:rPr>
          <w:sz w:val="22"/>
          <w:szCs w:val="22"/>
        </w:rPr>
        <w:t xml:space="preserve"> Georgia within the third cycle of the Universal </w:t>
      </w:r>
      <w:r w:rsidR="0069054E" w:rsidRPr="00E960C9">
        <w:rPr>
          <w:sz w:val="22"/>
          <w:szCs w:val="22"/>
        </w:rPr>
        <w:t>Periodic</w:t>
      </w:r>
      <w:r w:rsidRPr="00E960C9">
        <w:rPr>
          <w:sz w:val="22"/>
          <w:szCs w:val="22"/>
        </w:rPr>
        <w:t xml:space="preserve"> </w:t>
      </w:r>
      <w:r w:rsidR="00C0157F" w:rsidRPr="00E960C9">
        <w:rPr>
          <w:sz w:val="22"/>
          <w:szCs w:val="22"/>
        </w:rPr>
        <w:t>R</w:t>
      </w:r>
      <w:r w:rsidRPr="00E960C9">
        <w:rPr>
          <w:sz w:val="22"/>
          <w:szCs w:val="22"/>
        </w:rPr>
        <w:t>eview (UPR)</w:t>
      </w:r>
      <w:r w:rsidR="00347CC4" w:rsidRPr="00E960C9">
        <w:rPr>
          <w:sz w:val="22"/>
          <w:szCs w:val="22"/>
        </w:rPr>
        <w:t>.</w:t>
      </w:r>
      <w:r w:rsidR="00392D79" w:rsidRPr="00E960C9">
        <w:rPr>
          <w:sz w:val="22"/>
          <w:szCs w:val="22"/>
        </w:rPr>
        <w:t xml:space="preserve"> In 2015, during the second cycle of the UPR, Georgia accepted 191 recommendations. At the same time, Georgia undertook the voluntary obligation to submit a midterm report on the process of the implementation of recommendations accepted by the country, and this was submitted in March 2019. The present report includes updated information on the implementation status of the recommendations accepted by the State. </w:t>
      </w:r>
    </w:p>
    <w:p w14:paraId="0B084E08" w14:textId="77777777" w:rsidR="00392D79" w:rsidRPr="00E960C9" w:rsidRDefault="00392D79" w:rsidP="00392D79">
      <w:pPr>
        <w:spacing w:before="120" w:after="120"/>
        <w:jc w:val="both"/>
        <w:rPr>
          <w:sz w:val="22"/>
          <w:szCs w:val="22"/>
        </w:rPr>
      </w:pPr>
      <w:r w:rsidRPr="00E960C9">
        <w:rPr>
          <w:sz w:val="22"/>
          <w:szCs w:val="22"/>
        </w:rPr>
        <w:t xml:space="preserve">All relevant state agencies from executive, legislative and judicial branches participated in the preparation of the present report. </w:t>
      </w:r>
    </w:p>
    <w:p w14:paraId="58A638AC" w14:textId="21F95FB6" w:rsidR="00392D79" w:rsidRPr="00E960C9" w:rsidRDefault="00392D79" w:rsidP="00392D79">
      <w:pPr>
        <w:spacing w:before="120" w:after="120"/>
        <w:jc w:val="both"/>
        <w:rPr>
          <w:sz w:val="22"/>
          <w:szCs w:val="22"/>
        </w:rPr>
      </w:pPr>
      <w:r w:rsidRPr="00E960C9">
        <w:rPr>
          <w:sz w:val="22"/>
          <w:szCs w:val="22"/>
        </w:rPr>
        <w:t xml:space="preserve">The report was submitted to the Public Defender of Georgia, international and non-governmental </w:t>
      </w:r>
      <w:r w:rsidR="00C0157F" w:rsidRPr="00E960C9">
        <w:rPr>
          <w:sz w:val="22"/>
          <w:szCs w:val="22"/>
        </w:rPr>
        <w:t>organisation</w:t>
      </w:r>
      <w:r w:rsidRPr="00E960C9">
        <w:rPr>
          <w:sz w:val="22"/>
          <w:szCs w:val="22"/>
        </w:rPr>
        <w:t xml:space="preserve">s. Their suggestions and comments were considered and accepted during the report preparation. </w:t>
      </w:r>
    </w:p>
    <w:p w14:paraId="49FED4A3" w14:textId="4579CC87" w:rsidR="00347CC4" w:rsidRPr="00E960C9" w:rsidRDefault="00392D79" w:rsidP="00392D79">
      <w:pPr>
        <w:spacing w:before="120" w:after="120"/>
        <w:jc w:val="both"/>
        <w:rPr>
          <w:sz w:val="22"/>
          <w:szCs w:val="22"/>
        </w:rPr>
      </w:pPr>
      <w:r w:rsidRPr="00E960C9">
        <w:rPr>
          <w:sz w:val="22"/>
          <w:szCs w:val="22"/>
        </w:rPr>
        <w:t>It is noteworthy that the Parliament of Georgia reviewed this report in line with the Rules of Procedures of the Parliament as amended in 2016</w:t>
      </w:r>
      <w:r w:rsidR="00347CC4" w:rsidRPr="00E960C9">
        <w:rPr>
          <w:sz w:val="22"/>
          <w:szCs w:val="22"/>
        </w:rPr>
        <w:t xml:space="preserve">. </w:t>
      </w:r>
    </w:p>
    <w:p w14:paraId="7EFA0F7F" w14:textId="13DBBF2D" w:rsidR="00230420" w:rsidRPr="00E960C9" w:rsidRDefault="00347CC4" w:rsidP="00904117">
      <w:pPr>
        <w:pStyle w:val="Heading1"/>
        <w:numPr>
          <w:ilvl w:val="0"/>
          <w:numId w:val="13"/>
        </w:numPr>
        <w:spacing w:before="120" w:after="120"/>
        <w:jc w:val="both"/>
        <w:rPr>
          <w:rFonts w:ascii="Times New Roman" w:hAnsi="Times New Roman" w:cs="Times New Roman"/>
          <w:sz w:val="22"/>
          <w:szCs w:val="22"/>
        </w:rPr>
      </w:pPr>
      <w:bookmarkStart w:id="2" w:name="_Toc51302029"/>
      <w:r w:rsidRPr="00E960C9">
        <w:rPr>
          <w:rFonts w:ascii="Times New Roman" w:hAnsi="Times New Roman" w:cs="Times New Roman"/>
          <w:sz w:val="22"/>
          <w:szCs w:val="22"/>
        </w:rPr>
        <w:t>Human Rights Protection – Achievements and Challenges</w:t>
      </w:r>
      <w:bookmarkEnd w:id="2"/>
      <w:r w:rsidRPr="00E960C9">
        <w:rPr>
          <w:rFonts w:ascii="Times New Roman" w:hAnsi="Times New Roman" w:cs="Times New Roman"/>
          <w:sz w:val="22"/>
          <w:szCs w:val="22"/>
        </w:rPr>
        <w:t xml:space="preserve"> </w:t>
      </w:r>
    </w:p>
    <w:p w14:paraId="3794C782" w14:textId="69893001" w:rsidR="00667FF8" w:rsidRPr="00E960C9" w:rsidRDefault="001F22C1" w:rsidP="00904117">
      <w:pPr>
        <w:pStyle w:val="Heading2"/>
        <w:numPr>
          <w:ilvl w:val="0"/>
          <w:numId w:val="16"/>
        </w:numPr>
        <w:spacing w:before="120" w:after="120"/>
        <w:jc w:val="both"/>
        <w:rPr>
          <w:rFonts w:ascii="Times New Roman" w:hAnsi="Times New Roman" w:cs="Times New Roman"/>
          <w:sz w:val="22"/>
          <w:szCs w:val="22"/>
        </w:rPr>
      </w:pPr>
      <w:bookmarkStart w:id="3" w:name="_Toc51302030"/>
      <w:r w:rsidRPr="00E960C9">
        <w:rPr>
          <w:rFonts w:ascii="Times New Roman" w:hAnsi="Times New Roman" w:cs="Times New Roman"/>
          <w:sz w:val="22"/>
          <w:szCs w:val="22"/>
        </w:rPr>
        <w:t>Major institutional and legislative reforms</w:t>
      </w:r>
      <w:bookmarkEnd w:id="3"/>
      <w:r w:rsidRPr="00E960C9">
        <w:rPr>
          <w:rFonts w:ascii="Times New Roman" w:hAnsi="Times New Roman" w:cs="Times New Roman"/>
          <w:sz w:val="22"/>
          <w:szCs w:val="22"/>
        </w:rPr>
        <w:t xml:space="preserve"> </w:t>
      </w:r>
    </w:p>
    <w:p w14:paraId="70FE118B" w14:textId="77777777" w:rsidR="0058368A" w:rsidRPr="00E960C9" w:rsidRDefault="0058368A" w:rsidP="00904117">
      <w:pPr>
        <w:spacing w:before="120" w:after="120"/>
        <w:jc w:val="both"/>
        <w:rPr>
          <w:sz w:val="22"/>
          <w:szCs w:val="22"/>
        </w:rPr>
      </w:pPr>
      <w:r w:rsidRPr="00E960C9">
        <w:rPr>
          <w:sz w:val="22"/>
          <w:szCs w:val="22"/>
        </w:rPr>
        <w:t>After 2015 the Government of Georgia (</w:t>
      </w:r>
      <w:proofErr w:type="spellStart"/>
      <w:r w:rsidRPr="00E960C9">
        <w:rPr>
          <w:sz w:val="22"/>
          <w:szCs w:val="22"/>
        </w:rPr>
        <w:t>GoG</w:t>
      </w:r>
      <w:proofErr w:type="spellEnd"/>
      <w:r w:rsidRPr="00E960C9">
        <w:rPr>
          <w:sz w:val="22"/>
          <w:szCs w:val="22"/>
        </w:rPr>
        <w:t xml:space="preserve">) implemented significant reforms aiming at improved standards of human rights protection.  </w:t>
      </w:r>
    </w:p>
    <w:p w14:paraId="5DF3F8DB" w14:textId="6CA82DA8" w:rsidR="0058368A" w:rsidRPr="00E960C9" w:rsidRDefault="0058368A" w:rsidP="00904117">
      <w:pPr>
        <w:spacing w:before="120" w:after="120"/>
        <w:jc w:val="both"/>
        <w:rPr>
          <w:sz w:val="22"/>
          <w:szCs w:val="22"/>
        </w:rPr>
      </w:pPr>
      <w:r w:rsidRPr="00E960C9">
        <w:rPr>
          <w:sz w:val="22"/>
          <w:szCs w:val="22"/>
        </w:rPr>
        <w:t xml:space="preserve">Georgia is a Member State of all major </w:t>
      </w:r>
      <w:r w:rsidR="00000123" w:rsidRPr="00E960C9">
        <w:rPr>
          <w:sz w:val="22"/>
          <w:szCs w:val="22"/>
        </w:rPr>
        <w:t xml:space="preserve">international </w:t>
      </w:r>
      <w:r w:rsidRPr="00E960C9">
        <w:rPr>
          <w:sz w:val="22"/>
          <w:szCs w:val="22"/>
        </w:rPr>
        <w:t>human rights treaties. According to the Constitution of Georgia, an international treaty of Georgia shall take precedence over national normative acts unless it comes into conflict with the Constitution or the Constitutional Agreement of Georgia (Article 4.5).</w:t>
      </w:r>
    </w:p>
    <w:p w14:paraId="739ED108" w14:textId="77777777" w:rsidR="0058368A" w:rsidRPr="00E960C9" w:rsidRDefault="0058368A" w:rsidP="00904117">
      <w:pPr>
        <w:spacing w:before="120" w:after="120"/>
        <w:jc w:val="both"/>
        <w:rPr>
          <w:sz w:val="22"/>
          <w:szCs w:val="22"/>
        </w:rPr>
      </w:pPr>
      <w:r w:rsidRPr="00E960C9">
        <w:rPr>
          <w:sz w:val="22"/>
          <w:szCs w:val="22"/>
        </w:rPr>
        <w:t>The constitutional amendments introduced in 2017-2018 consolidated the standards of human rights protection. The constitutional amendments specifically focus on social rights, rights of persons with disabilities (</w:t>
      </w:r>
      <w:proofErr w:type="spellStart"/>
      <w:r w:rsidRPr="00E960C9">
        <w:rPr>
          <w:sz w:val="22"/>
          <w:szCs w:val="22"/>
        </w:rPr>
        <w:t>PwDs</w:t>
      </w:r>
      <w:proofErr w:type="spellEnd"/>
      <w:r w:rsidRPr="00E960C9">
        <w:rPr>
          <w:sz w:val="22"/>
          <w:szCs w:val="22"/>
        </w:rPr>
        <w:t xml:space="preserve">), child rights, gender equality, </w:t>
      </w:r>
      <w:proofErr w:type="gramStart"/>
      <w:r w:rsidRPr="00E960C9">
        <w:rPr>
          <w:sz w:val="22"/>
          <w:szCs w:val="22"/>
        </w:rPr>
        <w:t>access</w:t>
      </w:r>
      <w:proofErr w:type="gramEnd"/>
      <w:r w:rsidRPr="00E960C9">
        <w:rPr>
          <w:sz w:val="22"/>
          <w:szCs w:val="22"/>
        </w:rPr>
        <w:t xml:space="preserve"> to public information.</w:t>
      </w:r>
    </w:p>
    <w:p w14:paraId="2EC61A31" w14:textId="77777777" w:rsidR="0058368A" w:rsidRPr="00E960C9" w:rsidRDefault="0058368A" w:rsidP="00904117">
      <w:pPr>
        <w:spacing w:before="120" w:after="120"/>
        <w:jc w:val="both"/>
        <w:rPr>
          <w:sz w:val="22"/>
          <w:szCs w:val="22"/>
        </w:rPr>
      </w:pPr>
      <w:r w:rsidRPr="00E960C9">
        <w:rPr>
          <w:sz w:val="22"/>
          <w:szCs w:val="22"/>
        </w:rPr>
        <w:t xml:space="preserve">National Human Rights Strategy (2014-2020) and relevant governmental action plans (2014-2015, 2016-2017, 2018-2020) represent crucial documents for the protection of human rights in Georgia. </w:t>
      </w:r>
    </w:p>
    <w:p w14:paraId="00E78E11" w14:textId="373A6E71" w:rsidR="0058368A" w:rsidRPr="00E960C9" w:rsidRDefault="0058368A" w:rsidP="00904117">
      <w:pPr>
        <w:spacing w:before="120" w:after="120"/>
        <w:jc w:val="both"/>
        <w:rPr>
          <w:sz w:val="22"/>
          <w:szCs w:val="22"/>
        </w:rPr>
      </w:pPr>
      <w:r w:rsidRPr="00E960C9">
        <w:rPr>
          <w:sz w:val="22"/>
          <w:szCs w:val="22"/>
        </w:rPr>
        <w:t xml:space="preserve">The Human Rights Inter-Agency Council chaired by the Prime Minister and the Human Rights Secretariat of the Administration of the Government supervises the effective implementation of the Action Plans. The Inter-Agency Council consists of the Ministers and top officials of different state agencies. Representatives of the local civil society </w:t>
      </w:r>
      <w:r w:rsidR="00C0157F" w:rsidRPr="00E960C9">
        <w:rPr>
          <w:sz w:val="22"/>
          <w:szCs w:val="22"/>
        </w:rPr>
        <w:t>organisation</w:t>
      </w:r>
      <w:r w:rsidRPr="00E960C9">
        <w:rPr>
          <w:sz w:val="22"/>
          <w:szCs w:val="22"/>
        </w:rPr>
        <w:t xml:space="preserve">s (CSOs) and international </w:t>
      </w:r>
      <w:r w:rsidR="00C0157F" w:rsidRPr="00E960C9">
        <w:rPr>
          <w:sz w:val="22"/>
          <w:szCs w:val="22"/>
        </w:rPr>
        <w:t>organisation</w:t>
      </w:r>
      <w:r w:rsidRPr="00E960C9">
        <w:rPr>
          <w:sz w:val="22"/>
          <w:szCs w:val="22"/>
        </w:rPr>
        <w:t xml:space="preserve">s participate in the work of the Interagency Council. They have consultative status at the Council. The Interagency Council reviews the submitted annual reports on the status implementation of the Action Plans and presents it to the </w:t>
      </w:r>
      <w:proofErr w:type="spellStart"/>
      <w:r w:rsidRPr="00E960C9">
        <w:rPr>
          <w:sz w:val="22"/>
          <w:szCs w:val="22"/>
        </w:rPr>
        <w:t>GoG</w:t>
      </w:r>
      <w:proofErr w:type="spellEnd"/>
      <w:r w:rsidRPr="00E960C9">
        <w:rPr>
          <w:sz w:val="22"/>
          <w:szCs w:val="22"/>
        </w:rPr>
        <w:t xml:space="preserve">. The GOG submits these reports to the Parliament for review. </w:t>
      </w:r>
    </w:p>
    <w:p w14:paraId="4E41C17F" w14:textId="57ABAE8E" w:rsidR="0058368A" w:rsidRPr="00E960C9" w:rsidRDefault="0058368A" w:rsidP="00904117">
      <w:pPr>
        <w:spacing w:before="120" w:after="120"/>
        <w:jc w:val="both"/>
        <w:rPr>
          <w:sz w:val="22"/>
          <w:szCs w:val="22"/>
        </w:rPr>
      </w:pPr>
      <w:r w:rsidRPr="00E960C9">
        <w:rPr>
          <w:sz w:val="22"/>
          <w:szCs w:val="22"/>
        </w:rPr>
        <w:t xml:space="preserve">The 2020 amendments to the regulatory framework increased the composition and mandate of the </w:t>
      </w:r>
      <w:r w:rsidR="004730B6" w:rsidRPr="00E960C9">
        <w:rPr>
          <w:sz w:val="22"/>
          <w:szCs w:val="22"/>
        </w:rPr>
        <w:t>Interagency</w:t>
      </w:r>
      <w:r w:rsidRPr="00E960C9">
        <w:rPr>
          <w:sz w:val="22"/>
          <w:szCs w:val="22"/>
        </w:rPr>
        <w:t xml:space="preserve"> Council. Now the Council is the national mechanism for monitoring, evaluation and reporting in the field of human rights.  A consultative group composing of the representatives of non-governmental </w:t>
      </w:r>
      <w:r w:rsidR="00C0157F" w:rsidRPr="00E960C9">
        <w:rPr>
          <w:sz w:val="22"/>
          <w:szCs w:val="22"/>
        </w:rPr>
        <w:t>organisation</w:t>
      </w:r>
      <w:r w:rsidRPr="00E960C9">
        <w:rPr>
          <w:sz w:val="22"/>
          <w:szCs w:val="22"/>
        </w:rPr>
        <w:t xml:space="preserve">s (NGOs) was created under the Council. </w:t>
      </w:r>
    </w:p>
    <w:p w14:paraId="4BA8FC21" w14:textId="77777777" w:rsidR="0058368A" w:rsidRPr="00E960C9" w:rsidRDefault="0058368A" w:rsidP="00904117">
      <w:pPr>
        <w:spacing w:before="120" w:after="120"/>
        <w:jc w:val="both"/>
        <w:rPr>
          <w:sz w:val="22"/>
          <w:szCs w:val="22"/>
        </w:rPr>
      </w:pPr>
      <w:r w:rsidRPr="00E960C9">
        <w:rPr>
          <w:sz w:val="22"/>
          <w:szCs w:val="22"/>
        </w:rPr>
        <w:t xml:space="preserve">In March 2020, the </w:t>
      </w:r>
      <w:proofErr w:type="spellStart"/>
      <w:r w:rsidRPr="00E960C9">
        <w:rPr>
          <w:sz w:val="22"/>
          <w:szCs w:val="22"/>
        </w:rPr>
        <w:t>GoG</w:t>
      </w:r>
      <w:proofErr w:type="spellEnd"/>
      <w:r w:rsidRPr="00E960C9">
        <w:rPr>
          <w:sz w:val="22"/>
          <w:szCs w:val="22"/>
        </w:rPr>
        <w:t xml:space="preserve"> created an interagency working group to develop the second human rights strategy and the fourth human rights action plan.  </w:t>
      </w:r>
    </w:p>
    <w:p w14:paraId="2CDD5EDF" w14:textId="24089BF9" w:rsidR="0058368A" w:rsidRPr="00E960C9" w:rsidRDefault="0058368A" w:rsidP="00904117">
      <w:pPr>
        <w:spacing w:before="120" w:after="120"/>
        <w:jc w:val="both"/>
        <w:rPr>
          <w:sz w:val="22"/>
          <w:szCs w:val="22"/>
        </w:rPr>
      </w:pPr>
      <w:r w:rsidRPr="00E960C9">
        <w:rPr>
          <w:sz w:val="22"/>
          <w:szCs w:val="22"/>
        </w:rPr>
        <w:t>The Prime Minister's Advisor on Human Rights and Gender Equality coordinates activities of state agencies and officials</w:t>
      </w:r>
      <w:r w:rsidR="00B25953" w:rsidRPr="00E960C9">
        <w:rPr>
          <w:sz w:val="22"/>
          <w:szCs w:val="22"/>
        </w:rPr>
        <w:t xml:space="preserve"> for improving </w:t>
      </w:r>
      <w:r w:rsidR="00C0157F" w:rsidRPr="00E960C9">
        <w:rPr>
          <w:sz w:val="22"/>
          <w:szCs w:val="22"/>
        </w:rPr>
        <w:t xml:space="preserve">the </w:t>
      </w:r>
      <w:r w:rsidR="00B25953" w:rsidRPr="00E960C9">
        <w:rPr>
          <w:sz w:val="22"/>
          <w:szCs w:val="22"/>
        </w:rPr>
        <w:t xml:space="preserve">human rights situation in Georgia. </w:t>
      </w:r>
    </w:p>
    <w:p w14:paraId="0A50E8AD" w14:textId="77777777" w:rsidR="00392D79" w:rsidRPr="00E960C9" w:rsidRDefault="00392D79" w:rsidP="00392D79">
      <w:pPr>
        <w:spacing w:before="120" w:after="120"/>
        <w:jc w:val="both"/>
        <w:rPr>
          <w:sz w:val="22"/>
          <w:szCs w:val="22"/>
        </w:rPr>
      </w:pPr>
      <w:r w:rsidRPr="00E960C9">
        <w:rPr>
          <w:sz w:val="22"/>
          <w:szCs w:val="22"/>
        </w:rPr>
        <w:t xml:space="preserve">The Human Rights and Civil Integration Committee of the Parliament of Georgia has a broad and robust mandate to evaluate and supervise the human rights situation in the country. </w:t>
      </w:r>
    </w:p>
    <w:p w14:paraId="227CE80D" w14:textId="61E5218C" w:rsidR="0058368A" w:rsidRPr="00E960C9" w:rsidRDefault="00392D79" w:rsidP="00392D79">
      <w:pPr>
        <w:spacing w:before="120" w:after="120"/>
        <w:jc w:val="both"/>
        <w:rPr>
          <w:sz w:val="22"/>
          <w:szCs w:val="22"/>
        </w:rPr>
      </w:pPr>
      <w:r w:rsidRPr="00E960C9">
        <w:rPr>
          <w:sz w:val="22"/>
          <w:szCs w:val="22"/>
        </w:rPr>
        <w:lastRenderedPageBreak/>
        <w:t xml:space="preserve">The Office of Public Defender (PDO) is a crucial constitutional body for the protection of human rights. It supervises the protection of human rights in Georgia. </w:t>
      </w:r>
    </w:p>
    <w:p w14:paraId="2CDF05CD" w14:textId="77777777" w:rsidR="0058368A" w:rsidRPr="00E960C9" w:rsidRDefault="0058368A" w:rsidP="00904117">
      <w:pPr>
        <w:spacing w:before="120" w:after="120"/>
        <w:jc w:val="both"/>
        <w:rPr>
          <w:sz w:val="22"/>
          <w:szCs w:val="22"/>
        </w:rPr>
      </w:pPr>
      <w:r w:rsidRPr="00E960C9">
        <w:rPr>
          <w:sz w:val="22"/>
          <w:szCs w:val="22"/>
        </w:rPr>
        <w:t xml:space="preserve">On November 1, 2019, an independent state agency – the State Inspector Service (SIS) (legal successor of the Personal Data Inspector Office) was created. It is an institutionally independent body responsible for independent and effective investigation of specific crimes committed by law enforcement officers and civil servants. </w:t>
      </w:r>
    </w:p>
    <w:p w14:paraId="38B8CCC4" w14:textId="046DB9C3" w:rsidR="001B1435" w:rsidRPr="00E960C9" w:rsidRDefault="0019034F" w:rsidP="00904117">
      <w:pPr>
        <w:spacing w:before="120" w:after="120"/>
        <w:jc w:val="both"/>
        <w:rPr>
          <w:rFonts w:eastAsia="Calibri"/>
          <w:sz w:val="22"/>
          <w:szCs w:val="22"/>
        </w:rPr>
      </w:pPr>
      <w:r w:rsidRPr="00E960C9">
        <w:rPr>
          <w:sz w:val="22"/>
          <w:szCs w:val="22"/>
        </w:rPr>
        <w:t>Georgian fundamental anti-corruption reforms are the most successful among Eastern European states and. Georgia has one of the lowest rates of corruption among the European States, as evidenced by many international studies</w:t>
      </w:r>
      <w:r w:rsidR="0058368A" w:rsidRPr="00E960C9">
        <w:rPr>
          <w:sz w:val="22"/>
          <w:szCs w:val="22"/>
        </w:rPr>
        <w:t>.</w:t>
      </w:r>
      <w:r w:rsidR="00E54C91" w:rsidRPr="00E960C9">
        <w:rPr>
          <w:rStyle w:val="FootnoteReference"/>
          <w:rFonts w:eastAsia="Calibri"/>
          <w:sz w:val="22"/>
          <w:szCs w:val="22"/>
        </w:rPr>
        <w:footnoteReference w:id="1"/>
      </w:r>
    </w:p>
    <w:p w14:paraId="302E2D60" w14:textId="7852320F" w:rsidR="00820CC6" w:rsidRPr="00E960C9" w:rsidRDefault="00820CC6" w:rsidP="00904117">
      <w:pPr>
        <w:pStyle w:val="Heading2"/>
        <w:numPr>
          <w:ilvl w:val="0"/>
          <w:numId w:val="16"/>
        </w:numPr>
        <w:spacing w:before="120" w:after="120"/>
        <w:jc w:val="both"/>
        <w:rPr>
          <w:rFonts w:ascii="Times New Roman" w:eastAsia="Calibri" w:hAnsi="Times New Roman" w:cs="Times New Roman"/>
          <w:sz w:val="22"/>
          <w:szCs w:val="22"/>
        </w:rPr>
      </w:pPr>
      <w:bookmarkStart w:id="4" w:name="_Toc51302031"/>
      <w:r w:rsidRPr="00E960C9">
        <w:rPr>
          <w:rFonts w:ascii="Times New Roman" w:hAnsi="Times New Roman" w:cs="Times New Roman"/>
          <w:sz w:val="22"/>
          <w:szCs w:val="22"/>
        </w:rPr>
        <w:t>Human</w:t>
      </w:r>
      <w:r w:rsidRPr="00E960C9">
        <w:rPr>
          <w:rFonts w:ascii="Times New Roman" w:eastAsia="Calibri" w:hAnsi="Times New Roman" w:cs="Times New Roman"/>
          <w:sz w:val="22"/>
          <w:szCs w:val="22"/>
        </w:rPr>
        <w:t xml:space="preserve"> </w:t>
      </w:r>
      <w:r w:rsidR="007D7AB8" w:rsidRPr="00E960C9">
        <w:rPr>
          <w:rFonts w:ascii="Times New Roman" w:eastAsia="Calibri" w:hAnsi="Times New Roman" w:cs="Times New Roman"/>
          <w:sz w:val="22"/>
          <w:szCs w:val="22"/>
        </w:rPr>
        <w:t>rights situation on the occupied territories</w:t>
      </w:r>
      <w:bookmarkEnd w:id="4"/>
      <w:r w:rsidR="007D7AB8" w:rsidRPr="00E960C9">
        <w:rPr>
          <w:rFonts w:ascii="Times New Roman" w:eastAsia="Calibri" w:hAnsi="Times New Roman" w:cs="Times New Roman"/>
          <w:sz w:val="22"/>
          <w:szCs w:val="22"/>
        </w:rPr>
        <w:t xml:space="preserve"> </w:t>
      </w:r>
    </w:p>
    <w:p w14:paraId="768F7F3C" w14:textId="77777777" w:rsidR="00820CC6" w:rsidRPr="00E960C9" w:rsidRDefault="00820CC6" w:rsidP="00904117">
      <w:pPr>
        <w:spacing w:before="120" w:after="120"/>
        <w:jc w:val="both"/>
        <w:rPr>
          <w:sz w:val="22"/>
          <w:szCs w:val="22"/>
        </w:rPr>
      </w:pPr>
      <w:r w:rsidRPr="00E960C9">
        <w:rPr>
          <w:sz w:val="22"/>
          <w:szCs w:val="22"/>
        </w:rPr>
        <w:t xml:space="preserve">The human rights situation in the occupied territories deteriorates gradually. The Actions of the Russian Federation - the occupation, steps undertaken towards factual annexation, increasing militarization, installation of barbed wires on the occupation line and other artificial barriers and other illegal actions – result in grave violation of human rights. </w:t>
      </w:r>
    </w:p>
    <w:p w14:paraId="7A1105F2" w14:textId="77777777" w:rsidR="00820CC6" w:rsidRPr="00E960C9" w:rsidRDefault="00820CC6" w:rsidP="00904117">
      <w:pPr>
        <w:spacing w:before="120" w:after="120"/>
        <w:jc w:val="both"/>
        <w:rPr>
          <w:sz w:val="22"/>
          <w:szCs w:val="22"/>
        </w:rPr>
      </w:pPr>
      <w:r w:rsidRPr="00E960C9">
        <w:rPr>
          <w:sz w:val="22"/>
          <w:szCs w:val="22"/>
        </w:rPr>
        <w:t xml:space="preserve">Hundred thousand internally displaced persons (IDPs) and refugees who were forced to flee as a result of several waves of ethnic cleansing are deprived opportunity to return to their places of residence safely and in dignity. </w:t>
      </w:r>
    </w:p>
    <w:p w14:paraId="7A1E1D81" w14:textId="112B020A" w:rsidR="00820CC6" w:rsidRPr="00E960C9" w:rsidRDefault="00820CC6" w:rsidP="00904117">
      <w:pPr>
        <w:spacing w:before="120" w:after="120"/>
        <w:jc w:val="both"/>
        <w:rPr>
          <w:sz w:val="22"/>
          <w:szCs w:val="22"/>
        </w:rPr>
      </w:pPr>
      <w:r w:rsidRPr="00E960C9">
        <w:rPr>
          <w:sz w:val="22"/>
          <w:szCs w:val="22"/>
        </w:rPr>
        <w:t xml:space="preserve">The right to life of the Georgian citizens on the territory of the occupied territories is violated as clearly manifested by </w:t>
      </w:r>
      <w:r w:rsidR="00F603BD" w:rsidRPr="00E960C9">
        <w:rPr>
          <w:sz w:val="22"/>
          <w:szCs w:val="22"/>
        </w:rPr>
        <w:t xml:space="preserve">depriving life </w:t>
      </w:r>
      <w:r w:rsidRPr="00E960C9">
        <w:rPr>
          <w:sz w:val="22"/>
          <w:szCs w:val="22"/>
        </w:rPr>
        <w:t xml:space="preserve">of Davit </w:t>
      </w:r>
      <w:proofErr w:type="spellStart"/>
      <w:r w:rsidRPr="00E960C9">
        <w:rPr>
          <w:sz w:val="22"/>
          <w:szCs w:val="22"/>
        </w:rPr>
        <w:t>Basharuli</w:t>
      </w:r>
      <w:proofErr w:type="spellEnd"/>
      <w:r w:rsidRPr="00E960C9">
        <w:rPr>
          <w:sz w:val="22"/>
          <w:szCs w:val="22"/>
        </w:rPr>
        <w:t xml:space="preserve"> in 2014, Giga </w:t>
      </w:r>
      <w:proofErr w:type="spellStart"/>
      <w:r w:rsidRPr="00E960C9">
        <w:rPr>
          <w:sz w:val="22"/>
          <w:szCs w:val="22"/>
        </w:rPr>
        <w:t>Otkhozoria</w:t>
      </w:r>
      <w:proofErr w:type="spellEnd"/>
      <w:r w:rsidRPr="00E960C9">
        <w:rPr>
          <w:sz w:val="22"/>
          <w:szCs w:val="22"/>
        </w:rPr>
        <w:t xml:space="preserve"> in 2016 and </w:t>
      </w:r>
      <w:proofErr w:type="spellStart"/>
      <w:r w:rsidRPr="00E960C9">
        <w:rPr>
          <w:sz w:val="22"/>
          <w:szCs w:val="22"/>
        </w:rPr>
        <w:t>Archil</w:t>
      </w:r>
      <w:proofErr w:type="spellEnd"/>
      <w:r w:rsidRPr="00E960C9">
        <w:rPr>
          <w:sz w:val="22"/>
          <w:szCs w:val="22"/>
        </w:rPr>
        <w:t xml:space="preserve"> </w:t>
      </w:r>
      <w:proofErr w:type="spellStart"/>
      <w:r w:rsidRPr="00E960C9">
        <w:rPr>
          <w:sz w:val="22"/>
          <w:szCs w:val="22"/>
        </w:rPr>
        <w:t>Tatunashviuli</w:t>
      </w:r>
      <w:proofErr w:type="spellEnd"/>
      <w:r w:rsidRPr="00E960C9">
        <w:rPr>
          <w:sz w:val="22"/>
          <w:szCs w:val="22"/>
        </w:rPr>
        <w:t xml:space="preserve"> in 2018. The representatives of the occupational regime directly participated in these murders. In 2019, the Russian occupational forces detained the national of Georgia Irakli </w:t>
      </w:r>
      <w:proofErr w:type="spellStart"/>
      <w:r w:rsidRPr="00E960C9">
        <w:rPr>
          <w:sz w:val="22"/>
          <w:szCs w:val="22"/>
        </w:rPr>
        <w:t>Kvaratskhelia</w:t>
      </w:r>
      <w:proofErr w:type="spellEnd"/>
      <w:r w:rsidRPr="00E960C9">
        <w:rPr>
          <w:sz w:val="22"/>
          <w:szCs w:val="22"/>
        </w:rPr>
        <w:t xml:space="preserve"> who died at the Russian military base illegally deployed in the Region of Abkhazia.</w:t>
      </w:r>
    </w:p>
    <w:p w14:paraId="705EE328" w14:textId="6FC195B9" w:rsidR="00820CC6" w:rsidRPr="00E960C9" w:rsidRDefault="00820CC6" w:rsidP="00904117">
      <w:pPr>
        <w:spacing w:before="120" w:after="120"/>
        <w:jc w:val="both"/>
        <w:rPr>
          <w:sz w:val="22"/>
          <w:szCs w:val="22"/>
        </w:rPr>
      </w:pPr>
      <w:r w:rsidRPr="00E960C9">
        <w:rPr>
          <w:sz w:val="22"/>
          <w:szCs w:val="22"/>
        </w:rPr>
        <w:t>The occupational regimes permanently close all crossing points to restrict the freedom of movement. In 2016-2017 four (4) “crossing points” with Abkhazia were closed. The occupational regimes</w:t>
      </w:r>
      <w:r w:rsidR="00C0157F" w:rsidRPr="00E960C9">
        <w:rPr>
          <w:sz w:val="22"/>
          <w:szCs w:val="22"/>
        </w:rPr>
        <w:t xml:space="preserve"> </w:t>
      </w:r>
      <w:r w:rsidRPr="00E960C9">
        <w:rPr>
          <w:sz w:val="22"/>
          <w:szCs w:val="22"/>
        </w:rPr>
        <w:t xml:space="preserve">often close </w:t>
      </w:r>
      <w:r w:rsidR="004730B6" w:rsidRPr="00E960C9">
        <w:rPr>
          <w:sz w:val="22"/>
          <w:szCs w:val="22"/>
        </w:rPr>
        <w:t xml:space="preserve">the remaining </w:t>
      </w:r>
      <w:r w:rsidRPr="00E960C9">
        <w:rPr>
          <w:sz w:val="22"/>
          <w:szCs w:val="22"/>
        </w:rPr>
        <w:t xml:space="preserve">crossing points based on different fake reason. Since September </w:t>
      </w:r>
      <w:r w:rsidR="004730B6" w:rsidRPr="00E960C9">
        <w:rPr>
          <w:sz w:val="22"/>
          <w:szCs w:val="22"/>
        </w:rPr>
        <w:t>4,</w:t>
      </w:r>
      <w:r w:rsidRPr="00E960C9">
        <w:rPr>
          <w:sz w:val="22"/>
          <w:szCs w:val="22"/>
        </w:rPr>
        <w:t xml:space="preserve"> 2019, the so-called crossing point towards </w:t>
      </w:r>
      <w:proofErr w:type="spellStart"/>
      <w:r w:rsidRPr="00E960C9">
        <w:rPr>
          <w:sz w:val="22"/>
          <w:szCs w:val="22"/>
        </w:rPr>
        <w:t>Akhalgori</w:t>
      </w:r>
      <w:proofErr w:type="spellEnd"/>
      <w:r w:rsidRPr="00E960C9">
        <w:rPr>
          <w:sz w:val="22"/>
          <w:szCs w:val="22"/>
        </w:rPr>
        <w:t xml:space="preserve"> is closed. This restriction was the reason for the death of Margo </w:t>
      </w:r>
      <w:proofErr w:type="spellStart"/>
      <w:r w:rsidRPr="00E960C9">
        <w:rPr>
          <w:sz w:val="22"/>
          <w:szCs w:val="22"/>
        </w:rPr>
        <w:t>Martiashvili</w:t>
      </w:r>
      <w:proofErr w:type="spellEnd"/>
      <w:r w:rsidRPr="00E960C9">
        <w:rPr>
          <w:sz w:val="22"/>
          <w:szCs w:val="22"/>
        </w:rPr>
        <w:t xml:space="preserve">, resident of </w:t>
      </w:r>
      <w:proofErr w:type="spellStart"/>
      <w:r w:rsidRPr="00E960C9">
        <w:rPr>
          <w:sz w:val="22"/>
          <w:szCs w:val="22"/>
        </w:rPr>
        <w:t>Akhalgori</w:t>
      </w:r>
      <w:proofErr w:type="spellEnd"/>
      <w:r w:rsidRPr="00E960C9">
        <w:rPr>
          <w:sz w:val="22"/>
          <w:szCs w:val="22"/>
        </w:rPr>
        <w:t xml:space="preserve">. She had required immediate medical treatment; however, she was not able to cross the occupational line.  </w:t>
      </w:r>
    </w:p>
    <w:p w14:paraId="033D7B22" w14:textId="77777777" w:rsidR="00820CC6" w:rsidRPr="00E960C9" w:rsidRDefault="00820CC6" w:rsidP="00904117">
      <w:pPr>
        <w:spacing w:before="120" w:after="120"/>
        <w:jc w:val="both"/>
        <w:rPr>
          <w:sz w:val="22"/>
          <w:szCs w:val="22"/>
        </w:rPr>
      </w:pPr>
      <w:r w:rsidRPr="00E960C9">
        <w:rPr>
          <w:sz w:val="22"/>
          <w:szCs w:val="22"/>
        </w:rPr>
        <w:t xml:space="preserve">Illegal kidnapping and detention are permanent at the occupational line. Since 2016 the Russian occupational regime in Sukhumi detained 299 persons and the Russian Occupational Regime in Tskhinvali detailed 446 persons, including women, elderly, children, doctors and clergy. </w:t>
      </w:r>
    </w:p>
    <w:p w14:paraId="68A975BB" w14:textId="328D4F54" w:rsidR="00820CC6" w:rsidRPr="00E960C9" w:rsidRDefault="00820CC6" w:rsidP="00904117">
      <w:pPr>
        <w:spacing w:before="120" w:after="120"/>
        <w:jc w:val="both"/>
        <w:rPr>
          <w:sz w:val="22"/>
          <w:szCs w:val="22"/>
        </w:rPr>
      </w:pPr>
      <w:r w:rsidRPr="00E960C9">
        <w:rPr>
          <w:sz w:val="22"/>
          <w:szCs w:val="22"/>
        </w:rPr>
        <w:t xml:space="preserve">The Georgians living on the occupied territories are subject to ethnic discrimination. Since 2016 the occupational regime in Sukhumi coerces ethnic Georgians to register as “the nationals of other countries”. Despite registration as aliens, the Georgian population is deprived right to </w:t>
      </w:r>
      <w:r w:rsidR="00A422CF" w:rsidRPr="00E960C9">
        <w:rPr>
          <w:sz w:val="22"/>
          <w:szCs w:val="22"/>
        </w:rPr>
        <w:t xml:space="preserve">residence </w:t>
      </w:r>
      <w:r w:rsidRPr="00E960C9">
        <w:rPr>
          <w:sz w:val="22"/>
          <w:szCs w:val="22"/>
        </w:rPr>
        <w:t xml:space="preserve">employment and property. Education in the Georgian language is prohibited in the Region of Abkhazia since 2015, in Tskhinvali Region – since 2017. </w:t>
      </w:r>
      <w:r w:rsidR="00651C8D" w:rsidRPr="00E960C9">
        <w:rPr>
          <w:sz w:val="22"/>
          <w:szCs w:val="22"/>
        </w:rPr>
        <w:t xml:space="preserve">Teaching </w:t>
      </w:r>
      <w:r w:rsidRPr="00E960C9">
        <w:rPr>
          <w:sz w:val="22"/>
          <w:szCs w:val="22"/>
        </w:rPr>
        <w:t xml:space="preserve">in Georgian kindergartens and schools is conducted in Russian since then. </w:t>
      </w:r>
    </w:p>
    <w:p w14:paraId="4816717C" w14:textId="4B278AAC" w:rsidR="00820CC6" w:rsidRPr="00E960C9" w:rsidRDefault="00B10223" w:rsidP="00904117">
      <w:pPr>
        <w:spacing w:before="120" w:after="120"/>
        <w:jc w:val="both"/>
        <w:rPr>
          <w:sz w:val="22"/>
          <w:szCs w:val="22"/>
        </w:rPr>
      </w:pPr>
      <w:r w:rsidRPr="00E960C9">
        <w:rPr>
          <w:sz w:val="22"/>
          <w:szCs w:val="22"/>
        </w:rPr>
        <w:t xml:space="preserve">The locals living near the occupation line do not have an opportunity to visit their families. They do not have access to their property, agricultural lands, religious buildings and cemeteries. They have also been deprived of the opportunity to access healthcare and education services offered by the central authorities. </w:t>
      </w:r>
    </w:p>
    <w:p w14:paraId="200C77C4" w14:textId="77777777" w:rsidR="00820CC6" w:rsidRPr="00E960C9" w:rsidRDefault="00820CC6" w:rsidP="00904117">
      <w:pPr>
        <w:spacing w:before="120" w:after="120"/>
        <w:jc w:val="both"/>
        <w:rPr>
          <w:sz w:val="22"/>
          <w:szCs w:val="22"/>
        </w:rPr>
      </w:pPr>
      <w:r w:rsidRPr="00E960C9">
        <w:rPr>
          <w:sz w:val="22"/>
          <w:szCs w:val="22"/>
        </w:rPr>
        <w:lastRenderedPageBreak/>
        <w:t xml:space="preserve">The right to property on the occupied territories is gravely violated on the occupied territories. Houses of ethnic Georgians were intentionally burned down and destroyed.  </w:t>
      </w:r>
    </w:p>
    <w:p w14:paraId="195B6C41" w14:textId="77777777" w:rsidR="00820CC6" w:rsidRPr="00E960C9" w:rsidRDefault="00820CC6" w:rsidP="00904117">
      <w:pPr>
        <w:spacing w:before="120" w:after="120"/>
        <w:jc w:val="both"/>
        <w:rPr>
          <w:sz w:val="22"/>
          <w:szCs w:val="22"/>
        </w:rPr>
      </w:pPr>
      <w:r w:rsidRPr="00E960C9">
        <w:rPr>
          <w:sz w:val="22"/>
          <w:szCs w:val="22"/>
        </w:rPr>
        <w:t xml:space="preserve">The Russian Federation does not allow international human rights mechanisms to access the occupied territories. Even though the mandate of the EU Monitoring Mission (EUMM) extends on the whole territory of Georgia, it is restricted to access the regions of Abkhazia and Tskhinvali. Even more so, on October 24, 2019, the occupational forces detained EUMM monitors who were patrolling near the occupation line on the territory under Georgian-government control. </w:t>
      </w:r>
    </w:p>
    <w:p w14:paraId="6354A91E" w14:textId="77777777" w:rsidR="00820CC6" w:rsidRPr="00E960C9" w:rsidRDefault="00820CC6" w:rsidP="00904117">
      <w:pPr>
        <w:spacing w:before="120" w:after="120"/>
        <w:jc w:val="both"/>
        <w:rPr>
          <w:sz w:val="22"/>
          <w:szCs w:val="22"/>
        </w:rPr>
      </w:pPr>
      <w:r w:rsidRPr="00E960C9">
        <w:rPr>
          <w:sz w:val="22"/>
          <w:szCs w:val="22"/>
        </w:rPr>
        <w:t xml:space="preserve">The Russian Federation bears the responsibility for the human rights violations in the occupied territories as the power exercising effective control over the regions of Abkhazia and Tskhinvali.  </w:t>
      </w:r>
    </w:p>
    <w:p w14:paraId="41E8C3E2" w14:textId="7099C9EC" w:rsidR="00820CC6" w:rsidRPr="00E960C9" w:rsidRDefault="00820CC6" w:rsidP="00904117">
      <w:pPr>
        <w:spacing w:before="120" w:after="120"/>
        <w:jc w:val="both"/>
        <w:rPr>
          <w:sz w:val="22"/>
          <w:szCs w:val="22"/>
        </w:rPr>
      </w:pPr>
      <w:r w:rsidRPr="00E960C9">
        <w:rPr>
          <w:sz w:val="22"/>
          <w:szCs w:val="22"/>
        </w:rPr>
        <w:t xml:space="preserve">It is noteworthy that the GOG responsibly implements the policy of peaceful resolution of conflicts and </w:t>
      </w:r>
      <w:r w:rsidR="004730B6" w:rsidRPr="00E960C9">
        <w:rPr>
          <w:sz w:val="22"/>
          <w:szCs w:val="22"/>
        </w:rPr>
        <w:t>employs</w:t>
      </w:r>
      <w:r w:rsidRPr="00E960C9">
        <w:rPr>
          <w:sz w:val="22"/>
          <w:szCs w:val="22"/>
        </w:rPr>
        <w:t xml:space="preserve"> all available diplomatic, political, legal and other leverages for the protection of human rights on the occupied territories. The GOG actively uses the Geneva International Discussions (GID) and Incident Prevention and Response Mechanism (IPRM). This issue is the part of all bilateral and multilateral platforms and was reflected in various documents adopted by different countries and international </w:t>
      </w:r>
      <w:r w:rsidR="00C0157F" w:rsidRPr="00E960C9">
        <w:rPr>
          <w:sz w:val="22"/>
          <w:szCs w:val="22"/>
        </w:rPr>
        <w:t>organisation</w:t>
      </w:r>
      <w:r w:rsidRPr="00E960C9">
        <w:rPr>
          <w:sz w:val="22"/>
          <w:szCs w:val="22"/>
        </w:rPr>
        <w:t xml:space="preserve">s. </w:t>
      </w:r>
    </w:p>
    <w:p w14:paraId="72B4AD6E" w14:textId="47A5D32F" w:rsidR="00BB1BF1" w:rsidRPr="00E960C9" w:rsidRDefault="00820CC6" w:rsidP="00904117">
      <w:pPr>
        <w:spacing w:before="120" w:after="120"/>
        <w:jc w:val="both"/>
        <w:rPr>
          <w:sz w:val="22"/>
          <w:szCs w:val="22"/>
        </w:rPr>
      </w:pPr>
      <w:r w:rsidRPr="00E960C9">
        <w:rPr>
          <w:sz w:val="22"/>
          <w:szCs w:val="22"/>
        </w:rPr>
        <w:t xml:space="preserve">Besides, the GOG makes all efforts to improve the humanitarian and social-economic conditions of the population living in the occupied territories. </w:t>
      </w:r>
    </w:p>
    <w:p w14:paraId="27715414" w14:textId="7D9E6280" w:rsidR="002D1CDB" w:rsidRPr="00E960C9" w:rsidRDefault="002D1CDB" w:rsidP="00904117">
      <w:pPr>
        <w:pStyle w:val="Heading2"/>
        <w:numPr>
          <w:ilvl w:val="0"/>
          <w:numId w:val="16"/>
        </w:numPr>
        <w:spacing w:before="120" w:after="120"/>
        <w:jc w:val="both"/>
        <w:rPr>
          <w:rFonts w:ascii="Times New Roman" w:eastAsia="Calibri" w:hAnsi="Times New Roman" w:cs="Times New Roman"/>
          <w:sz w:val="22"/>
          <w:szCs w:val="22"/>
        </w:rPr>
      </w:pPr>
      <w:bookmarkStart w:id="5" w:name="_Toc51302032"/>
      <w:r w:rsidRPr="00E960C9">
        <w:rPr>
          <w:rFonts w:ascii="Times New Roman" w:hAnsi="Times New Roman" w:cs="Times New Roman"/>
          <w:sz w:val="22"/>
          <w:szCs w:val="22"/>
        </w:rPr>
        <w:t>Review</w:t>
      </w:r>
      <w:r w:rsidRPr="00E960C9">
        <w:rPr>
          <w:rFonts w:ascii="Times New Roman" w:eastAsia="Calibri" w:hAnsi="Times New Roman" w:cs="Times New Roman"/>
          <w:sz w:val="22"/>
          <w:szCs w:val="22"/>
        </w:rPr>
        <w:t xml:space="preserve"> </w:t>
      </w:r>
      <w:r w:rsidR="007D7AB8" w:rsidRPr="00E960C9">
        <w:rPr>
          <w:rFonts w:ascii="Times New Roman" w:eastAsia="Calibri" w:hAnsi="Times New Roman" w:cs="Times New Roman"/>
          <w:sz w:val="22"/>
          <w:szCs w:val="22"/>
        </w:rPr>
        <w:t>of the comprehensive policy on international humanitarian law</w:t>
      </w:r>
      <w:bookmarkEnd w:id="5"/>
    </w:p>
    <w:p w14:paraId="590EE545" w14:textId="64548984" w:rsidR="009905F4" w:rsidRPr="00E960C9" w:rsidRDefault="009905F4" w:rsidP="00904117">
      <w:pPr>
        <w:spacing w:before="120" w:after="120"/>
        <w:jc w:val="both"/>
        <w:rPr>
          <w:sz w:val="22"/>
          <w:szCs w:val="22"/>
        </w:rPr>
      </w:pPr>
      <w:r w:rsidRPr="00E960C9">
        <w:rPr>
          <w:sz w:val="22"/>
          <w:szCs w:val="22"/>
        </w:rPr>
        <w:t>In 2017 the Parliament adopted the Law on the Use and Protection of the Emblem and the Name of the Red Cross, Red Crescent and Red Crystal developed by the Interagency Commission of International Humanitarian Law.</w:t>
      </w:r>
    </w:p>
    <w:p w14:paraId="2B7E7D68" w14:textId="77777777" w:rsidR="009905F4" w:rsidRPr="00E960C9" w:rsidRDefault="009905F4" w:rsidP="00904117">
      <w:pPr>
        <w:spacing w:before="120" w:after="120"/>
        <w:jc w:val="both"/>
        <w:rPr>
          <w:sz w:val="22"/>
          <w:szCs w:val="22"/>
        </w:rPr>
      </w:pPr>
      <w:r w:rsidRPr="00E960C9">
        <w:rPr>
          <w:sz w:val="22"/>
          <w:szCs w:val="22"/>
        </w:rPr>
        <w:t xml:space="preserve">The draft Action Plan on Implementation of International Humanitarian Law for 2019-2020 was developed. </w:t>
      </w:r>
    </w:p>
    <w:p w14:paraId="2EBE1CD0" w14:textId="46FFBBE1" w:rsidR="00667FF8" w:rsidRPr="00E960C9" w:rsidRDefault="009905F4" w:rsidP="00904117">
      <w:pPr>
        <w:spacing w:before="120" w:after="120"/>
        <w:jc w:val="both"/>
        <w:rPr>
          <w:rFonts w:eastAsia="Calibri"/>
          <w:sz w:val="22"/>
          <w:szCs w:val="22"/>
        </w:rPr>
      </w:pPr>
      <w:r w:rsidRPr="00E960C9">
        <w:rPr>
          <w:sz w:val="22"/>
          <w:szCs w:val="22"/>
        </w:rPr>
        <w:t>In 2019, the Interagency Commission to Search for and Transfer the Bodies of Persons Missing after Armed Conflicts. The Commission aims to search and organize the transfer of bodies of persons missing after the armed conflict on the territory of Georgia.</w:t>
      </w:r>
    </w:p>
    <w:p w14:paraId="72D6C476" w14:textId="38FDFB83" w:rsidR="00667FF8" w:rsidRPr="00E960C9" w:rsidRDefault="009905F4" w:rsidP="00000123">
      <w:pPr>
        <w:pStyle w:val="Heading2"/>
        <w:numPr>
          <w:ilvl w:val="0"/>
          <w:numId w:val="16"/>
        </w:numPr>
        <w:spacing w:before="120" w:after="120"/>
        <w:jc w:val="both"/>
        <w:rPr>
          <w:rFonts w:ascii="Times New Roman" w:eastAsia="Calibri" w:hAnsi="Times New Roman" w:cs="Times New Roman"/>
          <w:sz w:val="22"/>
          <w:szCs w:val="22"/>
        </w:rPr>
      </w:pPr>
      <w:bookmarkStart w:id="6" w:name="_Toc51302033"/>
      <w:r w:rsidRPr="00E960C9">
        <w:rPr>
          <w:rFonts w:ascii="Times New Roman" w:hAnsi="Times New Roman" w:cs="Times New Roman"/>
          <w:sz w:val="22"/>
          <w:szCs w:val="22"/>
        </w:rPr>
        <w:t xml:space="preserve">Review </w:t>
      </w:r>
      <w:r w:rsidR="007D7AB8" w:rsidRPr="00E960C9">
        <w:rPr>
          <w:rFonts w:ascii="Times New Roman" w:hAnsi="Times New Roman" w:cs="Times New Roman"/>
          <w:sz w:val="22"/>
          <w:szCs w:val="22"/>
        </w:rPr>
        <w:t>of antidiscrimination legislation</w:t>
      </w:r>
      <w:bookmarkEnd w:id="6"/>
      <w:r w:rsidR="007D7AB8" w:rsidRPr="00E960C9">
        <w:rPr>
          <w:rFonts w:ascii="Times New Roman" w:hAnsi="Times New Roman" w:cs="Times New Roman"/>
          <w:sz w:val="22"/>
          <w:szCs w:val="22"/>
        </w:rPr>
        <w:t xml:space="preserve"> </w:t>
      </w:r>
    </w:p>
    <w:p w14:paraId="0390433A" w14:textId="77777777" w:rsidR="00A71B67" w:rsidRPr="00E960C9" w:rsidRDefault="00A71B67" w:rsidP="00904117">
      <w:pPr>
        <w:spacing w:before="120" w:after="120"/>
        <w:jc w:val="both"/>
        <w:rPr>
          <w:rFonts w:eastAsia="Calibri"/>
          <w:sz w:val="22"/>
          <w:szCs w:val="22"/>
        </w:rPr>
      </w:pPr>
      <w:r w:rsidRPr="00E960C9">
        <w:rPr>
          <w:rFonts w:eastAsia="Calibri"/>
          <w:sz w:val="22"/>
          <w:szCs w:val="22"/>
        </w:rPr>
        <w:t xml:space="preserve">Amendments to the Law of Georgia on Elimination of All Forms of Discrimination dated from May 2, 2014, increased the mandate of the Public Defender concerning the elimination of discrimination and ensuring equality. </w:t>
      </w:r>
    </w:p>
    <w:p w14:paraId="506FBFD1" w14:textId="4ECC8375" w:rsidR="00A71B67" w:rsidRPr="00E960C9" w:rsidRDefault="00A71B67" w:rsidP="00904117">
      <w:pPr>
        <w:spacing w:before="120" w:after="120"/>
        <w:jc w:val="both"/>
        <w:rPr>
          <w:rFonts w:eastAsia="Calibri"/>
          <w:sz w:val="22"/>
          <w:szCs w:val="22"/>
        </w:rPr>
      </w:pPr>
      <w:r w:rsidRPr="00E960C9">
        <w:rPr>
          <w:rFonts w:eastAsia="Calibri"/>
          <w:sz w:val="22"/>
          <w:szCs w:val="22"/>
        </w:rPr>
        <w:t xml:space="preserve">To implement the functions under the anti-discrimination legislation, the Office of the Public Defender (PDO) created the Equality Department. The 2019 amendments further increased the mandate of the Public Defender. The Public Defender is entitled to file a complaint before the court if a legal person or any subject of private law does not reply to or does not </w:t>
      </w:r>
      <w:r w:rsidR="004730B6" w:rsidRPr="00E960C9">
        <w:rPr>
          <w:rFonts w:eastAsia="Calibri"/>
          <w:sz w:val="22"/>
          <w:szCs w:val="22"/>
        </w:rPr>
        <w:t>consider</w:t>
      </w:r>
      <w:r w:rsidRPr="00E960C9">
        <w:rPr>
          <w:rFonts w:eastAsia="Calibri"/>
          <w:sz w:val="22"/>
          <w:szCs w:val="22"/>
        </w:rPr>
        <w:t xml:space="preserve"> the PDO recommendation. </w:t>
      </w:r>
    </w:p>
    <w:p w14:paraId="6A1E9428" w14:textId="77777777" w:rsidR="00A71B67" w:rsidRPr="00E960C9" w:rsidRDefault="00A71B67" w:rsidP="00904117">
      <w:pPr>
        <w:spacing w:before="120" w:after="120"/>
        <w:jc w:val="both"/>
        <w:rPr>
          <w:rFonts w:eastAsia="Calibri"/>
          <w:sz w:val="22"/>
          <w:szCs w:val="22"/>
        </w:rPr>
      </w:pPr>
      <w:r w:rsidRPr="00E960C9">
        <w:rPr>
          <w:rFonts w:eastAsia="Calibri"/>
          <w:sz w:val="22"/>
          <w:szCs w:val="22"/>
        </w:rPr>
        <w:t xml:space="preserve">To ensure effective implementation of statutory functions, the budget of PD increased by 268% compared to 2014, namely: in 2014 the PDO budget was 2.38 </w:t>
      </w:r>
      <w:proofErr w:type="spellStart"/>
      <w:r w:rsidRPr="00E960C9">
        <w:rPr>
          <w:rFonts w:eastAsia="Calibri"/>
          <w:sz w:val="22"/>
          <w:szCs w:val="22"/>
        </w:rPr>
        <w:t>mln</w:t>
      </w:r>
      <w:proofErr w:type="spellEnd"/>
      <w:r w:rsidRPr="00E960C9">
        <w:rPr>
          <w:rFonts w:eastAsia="Calibri"/>
          <w:sz w:val="22"/>
          <w:szCs w:val="22"/>
        </w:rPr>
        <w:t xml:space="preserve"> GEL, in 2015 – 4 </w:t>
      </w:r>
      <w:proofErr w:type="spellStart"/>
      <w:r w:rsidRPr="00E960C9">
        <w:rPr>
          <w:rFonts w:eastAsia="Calibri"/>
          <w:sz w:val="22"/>
          <w:szCs w:val="22"/>
        </w:rPr>
        <w:t>mln</w:t>
      </w:r>
      <w:proofErr w:type="spellEnd"/>
      <w:r w:rsidRPr="00E960C9">
        <w:rPr>
          <w:rFonts w:eastAsia="Calibri"/>
          <w:sz w:val="22"/>
          <w:szCs w:val="22"/>
        </w:rPr>
        <w:t xml:space="preserve"> GEL, in 2016 – 4.5 </w:t>
      </w:r>
      <w:proofErr w:type="spellStart"/>
      <w:r w:rsidRPr="00E960C9">
        <w:rPr>
          <w:rFonts w:eastAsia="Calibri"/>
          <w:sz w:val="22"/>
          <w:szCs w:val="22"/>
        </w:rPr>
        <w:t>mln</w:t>
      </w:r>
      <w:proofErr w:type="spellEnd"/>
      <w:r w:rsidRPr="00E960C9">
        <w:rPr>
          <w:rFonts w:eastAsia="Calibri"/>
          <w:sz w:val="22"/>
          <w:szCs w:val="22"/>
        </w:rPr>
        <w:t xml:space="preserve"> GEL, in 2017 – 4.8 </w:t>
      </w:r>
      <w:proofErr w:type="spellStart"/>
      <w:r w:rsidRPr="00E960C9">
        <w:rPr>
          <w:rFonts w:eastAsia="Calibri"/>
          <w:sz w:val="22"/>
          <w:szCs w:val="22"/>
        </w:rPr>
        <w:t>mln</w:t>
      </w:r>
      <w:proofErr w:type="spellEnd"/>
      <w:r w:rsidRPr="00E960C9">
        <w:rPr>
          <w:rFonts w:eastAsia="Calibri"/>
          <w:sz w:val="22"/>
          <w:szCs w:val="22"/>
        </w:rPr>
        <w:t xml:space="preserve"> GEL, in 2018 – 5.5 </w:t>
      </w:r>
      <w:proofErr w:type="spellStart"/>
      <w:r w:rsidRPr="00E960C9">
        <w:rPr>
          <w:rFonts w:eastAsia="Calibri"/>
          <w:sz w:val="22"/>
          <w:szCs w:val="22"/>
        </w:rPr>
        <w:t>mln</w:t>
      </w:r>
      <w:proofErr w:type="spellEnd"/>
      <w:r w:rsidRPr="00E960C9">
        <w:rPr>
          <w:rFonts w:eastAsia="Calibri"/>
          <w:sz w:val="22"/>
          <w:szCs w:val="22"/>
        </w:rPr>
        <w:t xml:space="preserve"> and 2019 – 6.4 </w:t>
      </w:r>
      <w:proofErr w:type="spellStart"/>
      <w:r w:rsidRPr="00E960C9">
        <w:rPr>
          <w:rFonts w:eastAsia="Calibri"/>
          <w:sz w:val="22"/>
          <w:szCs w:val="22"/>
        </w:rPr>
        <w:t>mln</w:t>
      </w:r>
      <w:proofErr w:type="spellEnd"/>
      <w:r w:rsidRPr="00E960C9">
        <w:rPr>
          <w:rFonts w:eastAsia="Calibri"/>
          <w:sz w:val="22"/>
          <w:szCs w:val="22"/>
        </w:rPr>
        <w:t xml:space="preserve"> GEL.</w:t>
      </w:r>
    </w:p>
    <w:p w14:paraId="3226BD91" w14:textId="77777777" w:rsidR="00A71B67" w:rsidRPr="00E960C9" w:rsidRDefault="00A71B67" w:rsidP="00904117">
      <w:pPr>
        <w:spacing w:before="120" w:after="120"/>
        <w:jc w:val="both"/>
        <w:rPr>
          <w:rFonts w:eastAsia="Calibri"/>
          <w:sz w:val="22"/>
          <w:szCs w:val="22"/>
        </w:rPr>
      </w:pPr>
      <w:r w:rsidRPr="00E960C9">
        <w:rPr>
          <w:rFonts w:eastAsia="Calibri"/>
          <w:sz w:val="22"/>
          <w:szCs w:val="22"/>
        </w:rPr>
        <w:t>In 2017 article 53</w:t>
      </w:r>
      <w:r w:rsidRPr="00E960C9">
        <w:rPr>
          <w:rFonts w:eastAsia="Calibri"/>
          <w:sz w:val="22"/>
          <w:szCs w:val="22"/>
          <w:vertAlign w:val="superscript"/>
        </w:rPr>
        <w:t>1</w:t>
      </w:r>
      <w:r w:rsidRPr="00E960C9">
        <w:rPr>
          <w:rFonts w:eastAsia="Calibri"/>
          <w:sz w:val="22"/>
          <w:szCs w:val="22"/>
        </w:rPr>
        <w:t xml:space="preserve"> was added to the Criminal Code of Georgia (CCG). This article provides that discrimination motive is an aggravating circumstance and introduces at least 1-year imprisonment. </w:t>
      </w:r>
    </w:p>
    <w:p w14:paraId="08DEDBD0" w14:textId="245B3E6C" w:rsidR="00667FF8" w:rsidRPr="00E960C9" w:rsidRDefault="00A71B67" w:rsidP="00904117">
      <w:pPr>
        <w:spacing w:before="120" w:after="120"/>
        <w:jc w:val="both"/>
        <w:rPr>
          <w:rFonts w:eastAsia="Calibri"/>
          <w:sz w:val="22"/>
          <w:szCs w:val="22"/>
        </w:rPr>
      </w:pPr>
      <w:r w:rsidRPr="00E960C9">
        <w:rPr>
          <w:rFonts w:eastAsia="Calibri"/>
          <w:sz w:val="22"/>
          <w:szCs w:val="22"/>
        </w:rPr>
        <w:t xml:space="preserve">On February 19, 2019, the amendments to the Law of Georgia on Elimination of all Forms of Discrimination introduced the definition of sexual harassment. The 2019 amendments to the labour legislation regulated sexual harassment in labour relations. Besides, 2019 amendments defined that sexual harassment was an administrative violation and introduced relevant sanction. </w:t>
      </w:r>
    </w:p>
    <w:p w14:paraId="63116CA9" w14:textId="1358274D" w:rsidR="00667FF8" w:rsidRPr="00E960C9" w:rsidRDefault="00A71B67" w:rsidP="00000123">
      <w:pPr>
        <w:pStyle w:val="Heading2"/>
        <w:numPr>
          <w:ilvl w:val="0"/>
          <w:numId w:val="16"/>
        </w:numPr>
        <w:spacing w:before="120" w:after="120"/>
        <w:jc w:val="both"/>
        <w:rPr>
          <w:rFonts w:ascii="Times New Roman" w:eastAsia="Calibri" w:hAnsi="Times New Roman" w:cs="Times New Roman"/>
          <w:sz w:val="22"/>
          <w:szCs w:val="22"/>
        </w:rPr>
      </w:pPr>
      <w:bookmarkStart w:id="7" w:name="_Toc51302034"/>
      <w:r w:rsidRPr="00E960C9">
        <w:rPr>
          <w:rFonts w:ascii="Times New Roman" w:eastAsia="Calibri" w:hAnsi="Times New Roman" w:cs="Times New Roman"/>
          <w:sz w:val="22"/>
          <w:szCs w:val="22"/>
        </w:rPr>
        <w:lastRenderedPageBreak/>
        <w:t xml:space="preserve">Fight against </w:t>
      </w:r>
      <w:r w:rsidR="004730B6" w:rsidRPr="00E960C9">
        <w:rPr>
          <w:rFonts w:ascii="Times New Roman" w:eastAsia="Calibri" w:hAnsi="Times New Roman" w:cs="Times New Roman"/>
          <w:sz w:val="22"/>
          <w:szCs w:val="22"/>
        </w:rPr>
        <w:t>crimes</w:t>
      </w:r>
      <w:r w:rsidRPr="00E960C9">
        <w:rPr>
          <w:rFonts w:ascii="Times New Roman" w:eastAsia="Calibri" w:hAnsi="Times New Roman" w:cs="Times New Roman"/>
          <w:sz w:val="22"/>
          <w:szCs w:val="22"/>
        </w:rPr>
        <w:t xml:space="preserve"> committed with discrimination/</w:t>
      </w:r>
      <w:r w:rsidR="004730B6" w:rsidRPr="00E960C9">
        <w:rPr>
          <w:rFonts w:ascii="Times New Roman" w:eastAsia="Calibri" w:hAnsi="Times New Roman" w:cs="Times New Roman"/>
          <w:sz w:val="22"/>
          <w:szCs w:val="22"/>
        </w:rPr>
        <w:t>hatred</w:t>
      </w:r>
      <w:r w:rsidRPr="00E960C9">
        <w:rPr>
          <w:rFonts w:ascii="Times New Roman" w:eastAsia="Calibri" w:hAnsi="Times New Roman" w:cs="Times New Roman"/>
          <w:sz w:val="22"/>
          <w:szCs w:val="22"/>
        </w:rPr>
        <w:t xml:space="preserve"> motive</w:t>
      </w:r>
      <w:bookmarkEnd w:id="7"/>
      <w:r w:rsidRPr="00E960C9">
        <w:rPr>
          <w:rFonts w:ascii="Times New Roman" w:eastAsia="Calibri" w:hAnsi="Times New Roman" w:cs="Times New Roman"/>
          <w:sz w:val="22"/>
          <w:szCs w:val="22"/>
        </w:rPr>
        <w:t xml:space="preserve"> </w:t>
      </w:r>
    </w:p>
    <w:p w14:paraId="59DBF6E3" w14:textId="77777777" w:rsidR="00F92243" w:rsidRPr="00E960C9" w:rsidRDefault="00F92243" w:rsidP="00904117">
      <w:pPr>
        <w:spacing w:before="120" w:after="120"/>
        <w:jc w:val="both"/>
        <w:rPr>
          <w:sz w:val="22"/>
          <w:szCs w:val="22"/>
        </w:rPr>
      </w:pPr>
      <w:r w:rsidRPr="00E960C9">
        <w:rPr>
          <w:sz w:val="22"/>
          <w:szCs w:val="22"/>
        </w:rPr>
        <w:t xml:space="preserve">In January 2018, the Ministry of Internal Affairs of Georgia (MIA) established the Human Rights Protection Department. Its primary function is monitoring the quality of investigation of crimes committed based on discrimination and hate crimes and administrative proceedings on administrative violations. </w:t>
      </w:r>
    </w:p>
    <w:p w14:paraId="669B454B" w14:textId="77777777" w:rsidR="00F92243" w:rsidRPr="00E960C9" w:rsidRDefault="00F92243" w:rsidP="00904117">
      <w:pPr>
        <w:spacing w:before="120" w:after="120"/>
        <w:jc w:val="both"/>
        <w:rPr>
          <w:sz w:val="22"/>
          <w:szCs w:val="22"/>
        </w:rPr>
      </w:pPr>
      <w:r w:rsidRPr="00E960C9">
        <w:rPr>
          <w:sz w:val="22"/>
          <w:szCs w:val="22"/>
        </w:rPr>
        <w:t xml:space="preserve">Fight against gate crimes is one of the priorities of the Prosecutor's Office, according to its 2017-2021 Strategy and Action Plan. In 2018-2019 the Prosecutor's Office selected and trained prosecutors who work on hate crimes. By the end of 2019, there were 71 specialized prosecutors/investigators in the system. </w:t>
      </w:r>
    </w:p>
    <w:p w14:paraId="6DBE3E7C" w14:textId="77777777" w:rsidR="00F92243" w:rsidRPr="00E960C9" w:rsidRDefault="00F92243" w:rsidP="00904117">
      <w:pPr>
        <w:spacing w:before="120" w:after="120"/>
        <w:jc w:val="both"/>
        <w:rPr>
          <w:sz w:val="22"/>
          <w:szCs w:val="22"/>
        </w:rPr>
      </w:pPr>
      <w:r w:rsidRPr="00E960C9">
        <w:rPr>
          <w:sz w:val="22"/>
          <w:szCs w:val="22"/>
        </w:rPr>
        <w:t>A recommendation for prosecutors and investigators of the Prosecutor's Office on practical implications of article 53</w:t>
      </w:r>
      <w:r w:rsidRPr="00E960C9">
        <w:rPr>
          <w:sz w:val="22"/>
          <w:szCs w:val="22"/>
          <w:vertAlign w:val="superscript"/>
        </w:rPr>
        <w:t>1</w:t>
      </w:r>
      <w:r w:rsidRPr="00E960C9">
        <w:rPr>
          <w:sz w:val="22"/>
          <w:szCs w:val="22"/>
        </w:rPr>
        <w:t xml:space="preserve"> of the CCG - aggravating factors for punishment - was adopted. The recommendation addresses the effective investigation of hate crimes, identification of motive, etc. </w:t>
      </w:r>
    </w:p>
    <w:p w14:paraId="36701EFF" w14:textId="37E87D81" w:rsidR="00F92243" w:rsidRPr="00E960C9" w:rsidRDefault="00F92243" w:rsidP="00904117">
      <w:pPr>
        <w:spacing w:before="120" w:after="120"/>
        <w:jc w:val="both"/>
        <w:rPr>
          <w:sz w:val="22"/>
          <w:szCs w:val="22"/>
        </w:rPr>
      </w:pPr>
      <w:r w:rsidRPr="00E960C9">
        <w:rPr>
          <w:sz w:val="22"/>
          <w:szCs w:val="22"/>
        </w:rPr>
        <w:t xml:space="preserve">A specialized questionnaire for prosecutors was </w:t>
      </w:r>
      <w:r w:rsidR="00CF0EA4" w:rsidRPr="00E960C9">
        <w:rPr>
          <w:sz w:val="22"/>
          <w:szCs w:val="22"/>
        </w:rPr>
        <w:t xml:space="preserve">drafted </w:t>
      </w:r>
      <w:r w:rsidRPr="00E960C9">
        <w:rPr>
          <w:sz w:val="22"/>
          <w:szCs w:val="22"/>
        </w:rPr>
        <w:t xml:space="preserve">that specified rules of interview/examination of victims, accused, and witnesses. </w:t>
      </w:r>
    </w:p>
    <w:p w14:paraId="0661F189" w14:textId="77777777" w:rsidR="00F92243" w:rsidRPr="00E960C9" w:rsidRDefault="00F92243" w:rsidP="00904117">
      <w:pPr>
        <w:spacing w:before="120" w:after="120"/>
        <w:jc w:val="both"/>
        <w:rPr>
          <w:sz w:val="22"/>
          <w:szCs w:val="22"/>
        </w:rPr>
      </w:pPr>
      <w:r w:rsidRPr="00E960C9">
        <w:rPr>
          <w:sz w:val="22"/>
          <w:szCs w:val="22"/>
        </w:rPr>
        <w:t>In 2018 the Council of Europe guidelines "Policing Hate Crime against LGBTI persons: Training for a Professional Police Response" was translated into Georgian.</w:t>
      </w:r>
    </w:p>
    <w:p w14:paraId="767BC086" w14:textId="77777777" w:rsidR="00F92243" w:rsidRPr="00E960C9" w:rsidRDefault="00F92243" w:rsidP="00904117">
      <w:pPr>
        <w:spacing w:before="120" w:after="120"/>
        <w:jc w:val="both"/>
        <w:rPr>
          <w:sz w:val="22"/>
          <w:szCs w:val="22"/>
        </w:rPr>
      </w:pPr>
      <w:r w:rsidRPr="00E960C9">
        <w:rPr>
          <w:sz w:val="22"/>
          <w:szCs w:val="22"/>
        </w:rPr>
        <w:t xml:space="preserve">The undertaken measures resulted in increased identification of discriminatory motive in criminal cases. In 2016 criminal prosecution was undertaken against 44 persons, while in 2019 – against 183 persons. </w:t>
      </w:r>
    </w:p>
    <w:p w14:paraId="0495D7E2" w14:textId="77777777" w:rsidR="00F92243" w:rsidRPr="00E960C9" w:rsidRDefault="00F92243" w:rsidP="00904117">
      <w:pPr>
        <w:spacing w:before="120" w:after="120"/>
        <w:jc w:val="both"/>
        <w:rPr>
          <w:sz w:val="22"/>
          <w:szCs w:val="22"/>
        </w:rPr>
      </w:pPr>
      <w:r w:rsidRPr="00E960C9">
        <w:rPr>
          <w:sz w:val="22"/>
          <w:szCs w:val="22"/>
        </w:rPr>
        <w:t xml:space="preserve">The educational/training courses on identification and effective investigation of hate crimes for the personnel of the Prosecutor's Office and MIA are conducted permanently. </w:t>
      </w:r>
    </w:p>
    <w:p w14:paraId="0387AEAE" w14:textId="77777777" w:rsidR="00F92243" w:rsidRPr="00E960C9" w:rsidRDefault="00F92243" w:rsidP="00904117">
      <w:pPr>
        <w:spacing w:before="120" w:after="120"/>
        <w:jc w:val="both"/>
        <w:rPr>
          <w:sz w:val="22"/>
          <w:szCs w:val="22"/>
        </w:rPr>
      </w:pPr>
      <w:r w:rsidRPr="00E960C9">
        <w:rPr>
          <w:sz w:val="22"/>
          <w:szCs w:val="22"/>
        </w:rPr>
        <w:t xml:space="preserve">Besides, government agencies permanently conduct awareness-raising and information campaigns concerning hate crimes. </w:t>
      </w:r>
    </w:p>
    <w:p w14:paraId="42A2C827" w14:textId="2ADD3878" w:rsidR="0031137A" w:rsidRPr="00E960C9" w:rsidRDefault="00F92243" w:rsidP="00904117">
      <w:pPr>
        <w:spacing w:before="120" w:after="120"/>
        <w:jc w:val="both"/>
        <w:rPr>
          <w:sz w:val="22"/>
          <w:szCs w:val="22"/>
        </w:rPr>
      </w:pPr>
      <w:r w:rsidRPr="00E960C9">
        <w:rPr>
          <w:sz w:val="22"/>
          <w:szCs w:val="22"/>
        </w:rPr>
        <w:t xml:space="preserve">In February 2020, Chapter 15 of the National Human Rights Action Plan (for 2018-2020) "Introduction of Equality Policy and Fight </w:t>
      </w:r>
      <w:proofErr w:type="gramStart"/>
      <w:r w:rsidRPr="00E960C9">
        <w:rPr>
          <w:sz w:val="22"/>
          <w:szCs w:val="22"/>
        </w:rPr>
        <w:t>Against</w:t>
      </w:r>
      <w:proofErr w:type="gramEnd"/>
      <w:r w:rsidRPr="00E960C9">
        <w:rPr>
          <w:sz w:val="22"/>
          <w:szCs w:val="22"/>
        </w:rPr>
        <w:t xml:space="preserve"> Discrimination" was adopted. This chapter aims to fight against crimes with discrimination motive and hate crimes.  </w:t>
      </w:r>
    </w:p>
    <w:p w14:paraId="701F405C" w14:textId="48940275" w:rsidR="001069CE" w:rsidRPr="00E960C9" w:rsidRDefault="007E0F99" w:rsidP="00000123">
      <w:pPr>
        <w:pStyle w:val="Heading2"/>
        <w:numPr>
          <w:ilvl w:val="0"/>
          <w:numId w:val="16"/>
        </w:numPr>
        <w:spacing w:before="120" w:after="120"/>
        <w:jc w:val="both"/>
        <w:rPr>
          <w:rFonts w:ascii="Times New Roman" w:eastAsia="Calibri" w:hAnsi="Times New Roman" w:cs="Times New Roman"/>
          <w:sz w:val="22"/>
          <w:szCs w:val="22"/>
        </w:rPr>
      </w:pPr>
      <w:bookmarkStart w:id="8" w:name="_Toc51302035"/>
      <w:r w:rsidRPr="00E960C9">
        <w:rPr>
          <w:rFonts w:ascii="Times New Roman" w:eastAsia="Calibri" w:hAnsi="Times New Roman" w:cs="Times New Roman"/>
          <w:sz w:val="22"/>
          <w:szCs w:val="22"/>
        </w:rPr>
        <w:t xml:space="preserve">Gender </w:t>
      </w:r>
      <w:r w:rsidR="007D7AB8">
        <w:rPr>
          <w:rFonts w:ascii="Times New Roman" w:eastAsia="Calibri" w:hAnsi="Times New Roman" w:cs="Times New Roman"/>
          <w:sz w:val="22"/>
          <w:szCs w:val="22"/>
        </w:rPr>
        <w:t>e</w:t>
      </w:r>
      <w:r w:rsidRPr="00E960C9">
        <w:rPr>
          <w:rFonts w:ascii="Times New Roman" w:eastAsia="Calibri" w:hAnsi="Times New Roman" w:cs="Times New Roman"/>
          <w:sz w:val="22"/>
          <w:szCs w:val="22"/>
        </w:rPr>
        <w:t>quality</w:t>
      </w:r>
      <w:bookmarkEnd w:id="8"/>
      <w:r w:rsidRPr="00E960C9">
        <w:rPr>
          <w:rFonts w:ascii="Times New Roman" w:eastAsia="Calibri" w:hAnsi="Times New Roman" w:cs="Times New Roman"/>
          <w:sz w:val="22"/>
          <w:szCs w:val="22"/>
        </w:rPr>
        <w:t xml:space="preserve"> </w:t>
      </w:r>
    </w:p>
    <w:p w14:paraId="5018B04E" w14:textId="1C8BE2CE" w:rsidR="006524F8" w:rsidRPr="00E960C9" w:rsidRDefault="006524F8" w:rsidP="00904117">
      <w:pPr>
        <w:spacing w:before="120" w:after="120"/>
        <w:jc w:val="both"/>
        <w:rPr>
          <w:sz w:val="22"/>
          <w:szCs w:val="22"/>
        </w:rPr>
      </w:pPr>
      <w:r w:rsidRPr="00E960C9">
        <w:rPr>
          <w:sz w:val="22"/>
          <w:szCs w:val="22"/>
        </w:rPr>
        <w:t xml:space="preserve">In 2018 amendments </w:t>
      </w:r>
      <w:r w:rsidR="004730B6" w:rsidRPr="00E960C9">
        <w:rPr>
          <w:sz w:val="22"/>
          <w:szCs w:val="22"/>
        </w:rPr>
        <w:t>to</w:t>
      </w:r>
      <w:r w:rsidRPr="00E960C9">
        <w:rPr>
          <w:sz w:val="22"/>
          <w:szCs w:val="22"/>
        </w:rPr>
        <w:t xml:space="preserve"> the Constitution entered into force. The new wording of the Constitution provides a provision concerning the equality of women and men (article 11). According to the amendments, the State shall take special measures to ensure the essential equality of men and women and to eliminate inequality.</w:t>
      </w:r>
    </w:p>
    <w:p w14:paraId="5E308BC8" w14:textId="77777777" w:rsidR="006524F8" w:rsidRPr="00E960C9" w:rsidRDefault="006524F8" w:rsidP="00904117">
      <w:pPr>
        <w:spacing w:before="120" w:after="120"/>
        <w:jc w:val="both"/>
        <w:rPr>
          <w:sz w:val="22"/>
          <w:szCs w:val="22"/>
        </w:rPr>
      </w:pPr>
      <w:r w:rsidRPr="00E960C9">
        <w:rPr>
          <w:sz w:val="22"/>
          <w:szCs w:val="22"/>
        </w:rPr>
        <w:t xml:space="preserve">Amendments to the Rules of Procedures of the Parliament transformed the Gender Equality Council into the standing consultative body of the Parliament. The Parliament Speaker or with his/her assignment one of the Council members chairs the Council. </w:t>
      </w:r>
    </w:p>
    <w:p w14:paraId="076F63A2" w14:textId="77777777" w:rsidR="006524F8" w:rsidRPr="00E960C9" w:rsidRDefault="006524F8" w:rsidP="00904117">
      <w:pPr>
        <w:spacing w:before="120" w:after="120"/>
        <w:jc w:val="both"/>
        <w:rPr>
          <w:sz w:val="22"/>
          <w:szCs w:val="22"/>
        </w:rPr>
      </w:pPr>
      <w:r w:rsidRPr="00E960C9">
        <w:rPr>
          <w:sz w:val="22"/>
          <w:szCs w:val="22"/>
        </w:rPr>
        <w:t>In 2017 the GOG Resolution created the Commission on Gender Equality, Violence against Women and Domestic Violence. Its members are deputy ministers, the co-chairs of the Commission are deputy minister of justice and the Prime Minister's Advisor on Human Rights and Gender Equality.</w:t>
      </w:r>
    </w:p>
    <w:p w14:paraId="574DE783" w14:textId="77777777" w:rsidR="006524F8" w:rsidRPr="00E960C9" w:rsidRDefault="006524F8" w:rsidP="00904117">
      <w:pPr>
        <w:spacing w:before="120" w:after="120"/>
        <w:jc w:val="both"/>
        <w:rPr>
          <w:sz w:val="22"/>
          <w:szCs w:val="22"/>
        </w:rPr>
      </w:pPr>
      <w:r w:rsidRPr="00E960C9">
        <w:rPr>
          <w:sz w:val="22"/>
          <w:szCs w:val="22"/>
        </w:rPr>
        <w:t>In 2018, the GOG approved National Action Plan of Georgia for Implementation of the UN Security Council Resolutions on Women, Peace and Security for 2018-2020 and National Human Rights Action Plan for 2018-2020 that includes a dedicated chapter "Gender Equality and Women Empowerment".</w:t>
      </w:r>
    </w:p>
    <w:p w14:paraId="62B76621" w14:textId="3D88B408" w:rsidR="006524F8" w:rsidRPr="00E960C9" w:rsidRDefault="006524F8" w:rsidP="00904117">
      <w:pPr>
        <w:spacing w:before="120" w:after="120"/>
        <w:jc w:val="both"/>
        <w:rPr>
          <w:sz w:val="22"/>
          <w:szCs w:val="22"/>
        </w:rPr>
      </w:pPr>
      <w:r w:rsidRPr="00E960C9">
        <w:rPr>
          <w:sz w:val="22"/>
          <w:szCs w:val="22"/>
        </w:rPr>
        <w:t xml:space="preserve">The 2018 amendments to </w:t>
      </w:r>
      <w:r w:rsidR="004730B6" w:rsidRPr="00E960C9">
        <w:rPr>
          <w:sz w:val="22"/>
          <w:szCs w:val="22"/>
        </w:rPr>
        <w:t>CCG introduced</w:t>
      </w:r>
      <w:r w:rsidRPr="00E960C9">
        <w:rPr>
          <w:sz w:val="22"/>
          <w:szCs w:val="22"/>
        </w:rPr>
        <w:t xml:space="preserve"> gender discrimination as an aggravating circumstance of a crime.</w:t>
      </w:r>
    </w:p>
    <w:p w14:paraId="30D5DC27" w14:textId="77777777" w:rsidR="006524F8" w:rsidRPr="00E960C9" w:rsidRDefault="006524F8" w:rsidP="00904117">
      <w:pPr>
        <w:spacing w:before="120" w:after="120"/>
        <w:jc w:val="both"/>
        <w:rPr>
          <w:sz w:val="22"/>
          <w:szCs w:val="22"/>
        </w:rPr>
      </w:pPr>
      <w:r w:rsidRPr="00E960C9">
        <w:rPr>
          <w:sz w:val="22"/>
          <w:szCs w:val="22"/>
        </w:rPr>
        <w:t xml:space="preserve">Since 2013 the Gender Equality Department operates at the PDO. It aims at supervising human rights situation from the gender equality perspective. </w:t>
      </w:r>
    </w:p>
    <w:p w14:paraId="176B87AE" w14:textId="77777777" w:rsidR="006524F8" w:rsidRPr="00E960C9" w:rsidRDefault="006524F8" w:rsidP="00904117">
      <w:pPr>
        <w:spacing w:before="120" w:after="120"/>
        <w:jc w:val="both"/>
        <w:rPr>
          <w:sz w:val="22"/>
          <w:szCs w:val="22"/>
        </w:rPr>
      </w:pPr>
      <w:r w:rsidRPr="00E960C9">
        <w:rPr>
          <w:sz w:val="22"/>
          <w:szCs w:val="22"/>
        </w:rPr>
        <w:t xml:space="preserve">At every ministry, a person or a department working on gender equality were identified. At the local self-government level, gender equality councils were created, and gender advisors are appointed in municipalities. Since 2015, gender equality advisor has been appointed in the Tbilisi Mayor's Office. </w:t>
      </w:r>
    </w:p>
    <w:p w14:paraId="1340EAF1" w14:textId="77777777" w:rsidR="006524F8" w:rsidRPr="00E960C9" w:rsidRDefault="006524F8" w:rsidP="00904117">
      <w:pPr>
        <w:spacing w:before="120" w:after="120"/>
        <w:jc w:val="both"/>
        <w:rPr>
          <w:sz w:val="22"/>
          <w:szCs w:val="22"/>
        </w:rPr>
      </w:pPr>
      <w:r w:rsidRPr="00E960C9">
        <w:rPr>
          <w:sz w:val="22"/>
          <w:szCs w:val="22"/>
        </w:rPr>
        <w:lastRenderedPageBreak/>
        <w:t>In March 2020, the Parliament appointed a woman as the President of the Supreme Court for a 10-year tenure. In 2018, the first women president was elected. In 2017, the Parliament appointed a woman as the Public Defender and in 2018 the woman chairperson of the Central Election Commission was re-elected for the second term.</w:t>
      </w:r>
    </w:p>
    <w:p w14:paraId="3C81D307" w14:textId="0B5F826E" w:rsidR="006524F8" w:rsidRPr="00E960C9" w:rsidRDefault="006524F8" w:rsidP="00904117">
      <w:pPr>
        <w:spacing w:before="120" w:after="120"/>
        <w:jc w:val="both"/>
        <w:rPr>
          <w:sz w:val="22"/>
          <w:szCs w:val="22"/>
        </w:rPr>
      </w:pPr>
      <w:r w:rsidRPr="00E960C9">
        <w:rPr>
          <w:sz w:val="22"/>
          <w:szCs w:val="22"/>
        </w:rPr>
        <w:t xml:space="preserve">As of March 2020, 5 out of 11 members of the GOG are women; out of them, 2 are vice-Prime Ministers. However, women are not </w:t>
      </w:r>
      <w:r w:rsidR="004730B6" w:rsidRPr="00E960C9">
        <w:rPr>
          <w:sz w:val="22"/>
          <w:szCs w:val="22"/>
        </w:rPr>
        <w:t xml:space="preserve">duly </w:t>
      </w:r>
      <w:r w:rsidRPr="00E960C9">
        <w:rPr>
          <w:sz w:val="22"/>
          <w:szCs w:val="22"/>
        </w:rPr>
        <w:t xml:space="preserve">represented at decision-making positions and legislative body. Accordingly, since 2015 many steps were undertaken to introduce mandatory quota in the Parliament and party lists. In 2017 the Parliament did not support the legislation on mandatory gender quota. The work continues in this direction. </w:t>
      </w:r>
    </w:p>
    <w:p w14:paraId="6E47767C" w14:textId="33C3F270" w:rsidR="006524F8" w:rsidRPr="00E960C9" w:rsidRDefault="00CF0EA4" w:rsidP="00904117">
      <w:pPr>
        <w:spacing w:before="120" w:after="120"/>
        <w:jc w:val="both"/>
        <w:rPr>
          <w:sz w:val="22"/>
          <w:szCs w:val="22"/>
        </w:rPr>
      </w:pPr>
      <w:r w:rsidRPr="00E960C9">
        <w:rPr>
          <w:sz w:val="22"/>
          <w:szCs w:val="22"/>
        </w:rPr>
        <w:t xml:space="preserve">The Ministry of Environmental Protection and Agriculture works actively for economic empowerment of women, including women in rural areas. To that end, 58 women's cooperatives were created; women are residing in 157 cooperatives; 22 successful women entrepreneurs operate in the wine sector whose wines got recognition and won various </w:t>
      </w:r>
      <w:r w:rsidR="0069054E" w:rsidRPr="00E960C9">
        <w:rPr>
          <w:sz w:val="22"/>
          <w:szCs w:val="22"/>
        </w:rPr>
        <w:t>prizes.</w:t>
      </w:r>
      <w:r w:rsidR="006524F8" w:rsidRPr="00E960C9">
        <w:rPr>
          <w:sz w:val="22"/>
          <w:szCs w:val="22"/>
        </w:rPr>
        <w:t xml:space="preserve"> </w:t>
      </w:r>
    </w:p>
    <w:p w14:paraId="4E528343" w14:textId="173826AC" w:rsidR="0031137A" w:rsidRPr="00E960C9" w:rsidRDefault="00780810" w:rsidP="00000123">
      <w:pPr>
        <w:pStyle w:val="Heading2"/>
        <w:numPr>
          <w:ilvl w:val="0"/>
          <w:numId w:val="16"/>
        </w:numPr>
        <w:spacing w:before="120" w:after="120"/>
        <w:jc w:val="both"/>
        <w:rPr>
          <w:rFonts w:ascii="Times New Roman" w:hAnsi="Times New Roman" w:cs="Times New Roman"/>
          <w:sz w:val="22"/>
          <w:szCs w:val="22"/>
        </w:rPr>
      </w:pPr>
      <w:bookmarkStart w:id="9" w:name="_Toc51302036"/>
      <w:r w:rsidRPr="00E960C9">
        <w:rPr>
          <w:rFonts w:ascii="Times New Roman" w:eastAsia="Calibri" w:hAnsi="Times New Roman" w:cs="Times New Roman"/>
          <w:sz w:val="22"/>
          <w:szCs w:val="22"/>
        </w:rPr>
        <w:t xml:space="preserve">Elimination of </w:t>
      </w:r>
      <w:r w:rsidR="007D7AB8" w:rsidRPr="00E960C9">
        <w:rPr>
          <w:rFonts w:ascii="Times New Roman" w:eastAsia="Calibri" w:hAnsi="Times New Roman" w:cs="Times New Roman"/>
          <w:sz w:val="22"/>
          <w:szCs w:val="22"/>
        </w:rPr>
        <w:t>violence against women and domestic violence</w:t>
      </w:r>
      <w:bookmarkEnd w:id="9"/>
      <w:r w:rsidR="007D7AB8" w:rsidRPr="00E960C9">
        <w:rPr>
          <w:rFonts w:ascii="Times New Roman" w:eastAsia="Calibri" w:hAnsi="Times New Roman" w:cs="Times New Roman"/>
          <w:sz w:val="22"/>
          <w:szCs w:val="22"/>
        </w:rPr>
        <w:t xml:space="preserve"> </w:t>
      </w:r>
    </w:p>
    <w:p w14:paraId="63CD957B"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Fight against violence against women and domestic violence (DV) is one of the priorities of the GOG. </w:t>
      </w:r>
    </w:p>
    <w:p w14:paraId="60EC6985" w14:textId="3273A08D"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In 2017 Georgia adhered to the </w:t>
      </w:r>
      <w:proofErr w:type="spellStart"/>
      <w:r w:rsidRPr="00E960C9">
        <w:rPr>
          <w:rFonts w:eastAsiaTheme="minorHAnsi"/>
          <w:sz w:val="22"/>
          <w:szCs w:val="22"/>
        </w:rPr>
        <w:t>CoE</w:t>
      </w:r>
      <w:proofErr w:type="spellEnd"/>
      <w:r w:rsidRPr="00E960C9">
        <w:rPr>
          <w:rFonts w:eastAsiaTheme="minorHAnsi"/>
          <w:sz w:val="22"/>
          <w:szCs w:val="22"/>
        </w:rPr>
        <w:t xml:space="preserve"> Convention on preventing and combating violence against women and domestic violence (Istanbul Convention). </w:t>
      </w:r>
      <w:r w:rsidR="004730B6" w:rsidRPr="00E960C9">
        <w:rPr>
          <w:rFonts w:eastAsiaTheme="minorHAnsi"/>
          <w:sz w:val="22"/>
          <w:szCs w:val="22"/>
        </w:rPr>
        <w:t>To</w:t>
      </w:r>
      <w:r w:rsidRPr="00E960C9">
        <w:rPr>
          <w:rFonts w:eastAsiaTheme="minorHAnsi"/>
          <w:sz w:val="22"/>
          <w:szCs w:val="22"/>
        </w:rPr>
        <w:t xml:space="preserve"> ensure compliance of national legislation with the Istanbul Convention, the Ministry of Justice </w:t>
      </w:r>
      <w:r w:rsidR="000A0D77" w:rsidRPr="00E960C9">
        <w:rPr>
          <w:rFonts w:eastAsiaTheme="minorHAnsi"/>
          <w:sz w:val="22"/>
          <w:szCs w:val="22"/>
        </w:rPr>
        <w:t xml:space="preserve">(MOJ) </w:t>
      </w:r>
      <w:r w:rsidRPr="00E960C9">
        <w:rPr>
          <w:rFonts w:eastAsiaTheme="minorHAnsi"/>
          <w:sz w:val="22"/>
          <w:szCs w:val="22"/>
        </w:rPr>
        <w:t xml:space="preserve">led the process of development and adoption of amendments to up to 30 legislative </w:t>
      </w:r>
      <w:r w:rsidR="004730B6" w:rsidRPr="00E960C9">
        <w:rPr>
          <w:rFonts w:eastAsiaTheme="minorHAnsi"/>
          <w:sz w:val="22"/>
          <w:szCs w:val="22"/>
        </w:rPr>
        <w:t>acts</w:t>
      </w:r>
      <w:r w:rsidRPr="00E960C9">
        <w:rPr>
          <w:rFonts w:eastAsiaTheme="minorHAnsi"/>
          <w:sz w:val="22"/>
          <w:szCs w:val="22"/>
        </w:rPr>
        <w:t xml:space="preserve">. New crimes, such as forced marriage, female genital mutilation, stalking and sterilisation without </w:t>
      </w:r>
      <w:r w:rsidR="004730B6" w:rsidRPr="00E960C9">
        <w:rPr>
          <w:rFonts w:eastAsiaTheme="minorHAnsi"/>
          <w:sz w:val="22"/>
          <w:szCs w:val="22"/>
        </w:rPr>
        <w:t>consent, were</w:t>
      </w:r>
      <w:r w:rsidRPr="00E960C9">
        <w:rPr>
          <w:rFonts w:eastAsiaTheme="minorHAnsi"/>
          <w:sz w:val="22"/>
          <w:szCs w:val="22"/>
        </w:rPr>
        <w:t xml:space="preserve"> introduced in the CCG.</w:t>
      </w:r>
    </w:p>
    <w:p w14:paraId="68990B59"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Inter-Agency Commission on Gender Equality, Violence against Women and Domestic Violence represents a coordination body as provided by the Istanbul Convention. </w:t>
      </w:r>
    </w:p>
    <w:p w14:paraId="52555515"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In 2018 the GOG approved National Action Plan for 2018-2020 on the Measures to be </w:t>
      </w:r>
      <w:proofErr w:type="gramStart"/>
      <w:r w:rsidRPr="00E960C9">
        <w:rPr>
          <w:rFonts w:eastAsiaTheme="minorHAnsi"/>
          <w:sz w:val="22"/>
          <w:szCs w:val="22"/>
        </w:rPr>
        <w:t>Implemented</w:t>
      </w:r>
      <w:proofErr w:type="gramEnd"/>
      <w:r w:rsidRPr="00E960C9">
        <w:rPr>
          <w:rFonts w:eastAsiaTheme="minorHAnsi"/>
          <w:sz w:val="22"/>
          <w:szCs w:val="22"/>
        </w:rPr>
        <w:t xml:space="preserve"> for Combating Violence Against Women and Domestic Violence and Protection of Victims/Survivors.</w:t>
      </w:r>
    </w:p>
    <w:p w14:paraId="2EADFB38"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The legislative amendments were developed that provided more severe sanctions for perpetrators of sexual abuse, including deprivation of some rights (including the right to be employed in educational institutions) and creation of a database of persons tried for sexual abuse. </w:t>
      </w:r>
    </w:p>
    <w:p w14:paraId="638B5F18"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Human Rights Protection and Investigation Quality Monitoring Department, established in 2018 at MIA, is monitoring, inter alia, the quality of investigation of domestic violence and violence against women and administrative proceedings on administrative violations.</w:t>
      </w:r>
    </w:p>
    <w:p w14:paraId="74CC0E0E" w14:textId="6165CE4A" w:rsidR="00D54A81" w:rsidRPr="00E960C9" w:rsidRDefault="00D54A81" w:rsidP="00904117">
      <w:pPr>
        <w:spacing w:before="120" w:after="120"/>
        <w:jc w:val="both"/>
        <w:rPr>
          <w:rFonts w:eastAsiaTheme="minorHAnsi"/>
          <w:sz w:val="22"/>
          <w:szCs w:val="22"/>
        </w:rPr>
      </w:pPr>
      <w:r w:rsidRPr="00E960C9">
        <w:rPr>
          <w:rFonts w:eastAsiaTheme="minorHAnsi"/>
          <w:sz w:val="22"/>
          <w:szCs w:val="22"/>
        </w:rPr>
        <w:t>Information on available legal mechanisms against DV and the MIA hotline 112 (works 24/7</w:t>
      </w:r>
      <w:r w:rsidR="004730B6" w:rsidRPr="00E960C9">
        <w:rPr>
          <w:rFonts w:eastAsiaTheme="minorHAnsi"/>
          <w:sz w:val="22"/>
          <w:szCs w:val="22"/>
        </w:rPr>
        <w:t>) is</w:t>
      </w:r>
      <w:r w:rsidRPr="00E960C9">
        <w:rPr>
          <w:rFonts w:eastAsiaTheme="minorHAnsi"/>
          <w:sz w:val="22"/>
          <w:szCs w:val="22"/>
        </w:rPr>
        <w:t xml:space="preserve"> available on the website of the MIA. The Ministry responds immediately to each fact, and a crew is sent to every location of the crime. </w:t>
      </w:r>
    </w:p>
    <w:p w14:paraId="53443655"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According to the 2017 amendments, restraining order enters into force immediately and does not require court approval. Violation of the conditions of the restraining order shall result in criminal responsibility. </w:t>
      </w:r>
    </w:p>
    <w:p w14:paraId="7AE52F78" w14:textId="589E087F"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In 2018 the Minister of Internal Affairs approved an evaluation instrument for the risks of violence against women and DV. The monitoring mechanism for evaluation of violence risks (high, medium and low risk) and execution of the conditions of the restraining order became operational. Thanks to this mechanism, restraining order became a useful </w:t>
      </w:r>
      <w:r w:rsidR="004730B6" w:rsidRPr="00E960C9">
        <w:rPr>
          <w:rFonts w:eastAsiaTheme="minorHAnsi"/>
          <w:sz w:val="22"/>
          <w:szCs w:val="22"/>
        </w:rPr>
        <w:t>protection</w:t>
      </w:r>
      <w:r w:rsidRPr="00E960C9">
        <w:rPr>
          <w:rFonts w:eastAsiaTheme="minorHAnsi"/>
          <w:sz w:val="22"/>
          <w:szCs w:val="22"/>
        </w:rPr>
        <w:t xml:space="preserve"> tool of victims, and the number of violations of orders decreased. In 2019, 376 persons (only 4%) violated conditions of the restraining order, while in 2018 6% violated the conditions. In 2018-2019 there were no cases of homicide during the validity of the restraining orders. The number of restraining orders was increased quadruple, namely, in 2015 2,722 restraining orders were issued, while in 2019 – 10,266.</w:t>
      </w:r>
    </w:p>
    <w:p w14:paraId="455B1192"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The number of </w:t>
      </w:r>
      <w:proofErr w:type="spellStart"/>
      <w:r w:rsidRPr="00E960C9">
        <w:rPr>
          <w:rFonts w:eastAsiaTheme="minorHAnsi"/>
          <w:sz w:val="22"/>
          <w:szCs w:val="22"/>
        </w:rPr>
        <w:t>femicide</w:t>
      </w:r>
      <w:proofErr w:type="spellEnd"/>
      <w:r w:rsidRPr="00E960C9">
        <w:rPr>
          <w:rFonts w:eastAsiaTheme="minorHAnsi"/>
          <w:sz w:val="22"/>
          <w:szCs w:val="22"/>
        </w:rPr>
        <w:t xml:space="preserve"> as a result of DV decreased, namely: 14 women died as a result of DV in 2016, 14 – in 2017, 7 – in 2018 and 8-in 2019. </w:t>
      </w:r>
    </w:p>
    <w:p w14:paraId="51BDD4FF"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lastRenderedPageBreak/>
        <w:t xml:space="preserve">The number of convicted persons for incitement of women to suicide or attempted suicide increased, namely: in 2018 3 persons were convicted and in 2019 – 9 persons. </w:t>
      </w:r>
    </w:p>
    <w:p w14:paraId="7AA114FF"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Since 2018, only specialised prosecutors and investigators of the Prosecutor’s Office have authority to participate in the DV crimes. By the end of 2019, there were 193 specialised personnel. The implemented reforms resulted in the increase of prosecution concerning facts of DV. Namely, in 2014 criminal proceedings were initiated against 550 persons, in 2018, 3,955 persons were convicted and in 2019 – 4,579 persons. </w:t>
      </w:r>
    </w:p>
    <w:p w14:paraId="10AF7D17"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Since 2016, Legal Entity of Public Law (LEPL) State Fund for Protection and Assistance of (statutory) Victims of Human Trafficking (further – the State Fund) provides services to the alleged victims of DV. </w:t>
      </w:r>
    </w:p>
    <w:p w14:paraId="375E97F9"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Since 2017, victims/alleged victims of violence against women and their dependents have access to the services of the State Fund. After the legislative amendments, since February 1, 2020, the LEPL Agency for State Care and Assistance for the (Statutory) Victims of Human trafficking was established that is the successor of the State Fund. Five shelters and five crisis centres operate under the Agency. </w:t>
      </w:r>
    </w:p>
    <w:p w14:paraId="42F90346" w14:textId="30DACD11"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LEPL Agency for State Care and Assistance for the (Statutory) Victims of Human </w:t>
      </w:r>
      <w:r w:rsidR="000945A7" w:rsidRPr="00E960C9">
        <w:rPr>
          <w:rFonts w:eastAsiaTheme="minorHAnsi"/>
          <w:sz w:val="22"/>
          <w:szCs w:val="22"/>
        </w:rPr>
        <w:t>T</w:t>
      </w:r>
      <w:r w:rsidRPr="00E960C9">
        <w:rPr>
          <w:rFonts w:eastAsiaTheme="minorHAnsi"/>
          <w:sz w:val="22"/>
          <w:szCs w:val="22"/>
        </w:rPr>
        <w:t xml:space="preserve">rafficking operates a hotline 116 006. Consultations concerning DV, violence against women, trafficking in human beings and sexual abuse are available via the hotline that is accessible 24/7. In addition to Georgian language, consultations are </w:t>
      </w:r>
      <w:r w:rsidR="00025CBB" w:rsidRPr="00E960C9">
        <w:rPr>
          <w:rFonts w:eastAsiaTheme="minorHAnsi"/>
          <w:sz w:val="22"/>
          <w:szCs w:val="22"/>
        </w:rPr>
        <w:t xml:space="preserve">available </w:t>
      </w:r>
      <w:r w:rsidRPr="00E960C9">
        <w:rPr>
          <w:rFonts w:eastAsiaTheme="minorHAnsi"/>
          <w:sz w:val="22"/>
          <w:szCs w:val="22"/>
        </w:rPr>
        <w:t xml:space="preserve">in 7 additional languages (English, Russian, Turkish, Azerbaijan, Armenian, Arab and </w:t>
      </w:r>
      <w:proofErr w:type="spellStart"/>
      <w:r w:rsidRPr="00E960C9">
        <w:rPr>
          <w:rFonts w:eastAsiaTheme="minorHAnsi"/>
          <w:sz w:val="22"/>
          <w:szCs w:val="22"/>
        </w:rPr>
        <w:t>Parsi</w:t>
      </w:r>
      <w:proofErr w:type="spellEnd"/>
      <w:r w:rsidRPr="00E960C9">
        <w:rPr>
          <w:rFonts w:eastAsiaTheme="minorHAnsi"/>
          <w:sz w:val="22"/>
          <w:szCs w:val="22"/>
        </w:rPr>
        <w:t xml:space="preserve">). The hotline is free. </w:t>
      </w:r>
    </w:p>
    <w:p w14:paraId="65FF69C5"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Since 2018, free legal aid is available for the victims of violence or DV. Victims of these crimes have access to state-funded free legal aid for criminal, civil and administrative proceedings irrespective of their social status. </w:t>
      </w:r>
    </w:p>
    <w:p w14:paraId="1289A680"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The Interagency Commission developed the National Communication Strategy and Action Plan for the Issues related to Violence </w:t>
      </w:r>
      <w:proofErr w:type="gramStart"/>
      <w:r w:rsidRPr="00E960C9">
        <w:rPr>
          <w:rFonts w:eastAsiaTheme="minorHAnsi"/>
          <w:sz w:val="22"/>
          <w:szCs w:val="22"/>
        </w:rPr>
        <w:t>Against</w:t>
      </w:r>
      <w:proofErr w:type="gramEnd"/>
      <w:r w:rsidRPr="00E960C9">
        <w:rPr>
          <w:rFonts w:eastAsiaTheme="minorHAnsi"/>
          <w:sz w:val="22"/>
          <w:szCs w:val="22"/>
        </w:rPr>
        <w:t xml:space="preserve"> Women and Domestic Violence. These documents facilitate the implementation of a unified policy on the prevention of violence against women and DV. </w:t>
      </w:r>
    </w:p>
    <w:p w14:paraId="45C5409C"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Since 2015, the Prosecutor’s Office analysis criminal cases related to </w:t>
      </w:r>
      <w:proofErr w:type="spellStart"/>
      <w:r w:rsidRPr="00E960C9">
        <w:rPr>
          <w:rFonts w:eastAsiaTheme="minorHAnsi"/>
          <w:sz w:val="22"/>
          <w:szCs w:val="22"/>
        </w:rPr>
        <w:t>femicide</w:t>
      </w:r>
      <w:proofErr w:type="spellEnd"/>
      <w:r w:rsidRPr="00E960C9">
        <w:rPr>
          <w:rFonts w:eastAsiaTheme="minorHAnsi"/>
          <w:sz w:val="22"/>
          <w:szCs w:val="22"/>
        </w:rPr>
        <w:t xml:space="preserve"> annually. The Prosecutor’s Office implements strict policy for </w:t>
      </w:r>
      <w:proofErr w:type="spellStart"/>
      <w:r w:rsidRPr="00E960C9">
        <w:rPr>
          <w:rFonts w:eastAsiaTheme="minorHAnsi"/>
          <w:sz w:val="22"/>
          <w:szCs w:val="22"/>
        </w:rPr>
        <w:t>femicide</w:t>
      </w:r>
      <w:proofErr w:type="spellEnd"/>
      <w:r w:rsidRPr="00E960C9">
        <w:rPr>
          <w:rFonts w:eastAsiaTheme="minorHAnsi"/>
          <w:sz w:val="22"/>
          <w:szCs w:val="22"/>
        </w:rPr>
        <w:t xml:space="preserve"> if the crime is committed as a part of DV. Since 2014, there were no cases of acquittal of persons charged with </w:t>
      </w:r>
      <w:proofErr w:type="spellStart"/>
      <w:r w:rsidRPr="00E960C9">
        <w:rPr>
          <w:rFonts w:eastAsiaTheme="minorHAnsi"/>
          <w:sz w:val="22"/>
          <w:szCs w:val="22"/>
        </w:rPr>
        <w:t>femicide</w:t>
      </w:r>
      <w:proofErr w:type="spellEnd"/>
      <w:r w:rsidRPr="00E960C9">
        <w:rPr>
          <w:rFonts w:eastAsiaTheme="minorHAnsi"/>
          <w:sz w:val="22"/>
          <w:szCs w:val="22"/>
        </w:rPr>
        <w:t xml:space="preserve">. </w:t>
      </w:r>
    </w:p>
    <w:p w14:paraId="3B4C7EC8" w14:textId="77777777" w:rsidR="00D54A81" w:rsidRPr="00E960C9" w:rsidRDefault="00D54A81" w:rsidP="00904117">
      <w:pPr>
        <w:spacing w:before="120" w:after="120"/>
        <w:jc w:val="both"/>
        <w:rPr>
          <w:rFonts w:eastAsiaTheme="minorHAnsi"/>
          <w:sz w:val="22"/>
          <w:szCs w:val="22"/>
        </w:rPr>
      </w:pPr>
      <w:r w:rsidRPr="00E960C9">
        <w:rPr>
          <w:rFonts w:eastAsiaTheme="minorHAnsi"/>
          <w:sz w:val="22"/>
          <w:szCs w:val="22"/>
        </w:rPr>
        <w:t xml:space="preserve">The law-enforcement bodies often conduct information meetings and campaigns concerning violence against women and DV to increase public awareness; subsequently, the number of applications to the law-enforcement bodies increased. </w:t>
      </w:r>
    </w:p>
    <w:p w14:paraId="1858D3B8" w14:textId="4A9275DD" w:rsidR="00D54A81" w:rsidRPr="00E960C9" w:rsidRDefault="00D54A81" w:rsidP="00904117">
      <w:pPr>
        <w:spacing w:before="120" w:after="120"/>
        <w:jc w:val="both"/>
        <w:rPr>
          <w:rFonts w:eastAsia="Calibri"/>
          <w:sz w:val="22"/>
          <w:szCs w:val="22"/>
        </w:rPr>
      </w:pPr>
      <w:r w:rsidRPr="00E960C9">
        <w:rPr>
          <w:rFonts w:eastAsiaTheme="minorHAnsi"/>
          <w:sz w:val="22"/>
          <w:szCs w:val="22"/>
        </w:rPr>
        <w:t xml:space="preserve">The 2019 legislative amendments strengthened preventive mechanisms to avoid repeated violence, increased sanctions against abusers and procedural rights of victims.  The Parliament is reviewing the legislative amendments concerning the introduction of electronic monitoring of abusers. </w:t>
      </w:r>
    </w:p>
    <w:p w14:paraId="006C91C4" w14:textId="000D5487" w:rsidR="00BB1BF1" w:rsidRPr="00E960C9" w:rsidRDefault="00D54A81" w:rsidP="00904117">
      <w:pPr>
        <w:pStyle w:val="Heading2"/>
        <w:numPr>
          <w:ilvl w:val="0"/>
          <w:numId w:val="16"/>
        </w:numPr>
        <w:spacing w:before="120" w:after="120"/>
        <w:jc w:val="both"/>
        <w:rPr>
          <w:rFonts w:ascii="Times New Roman" w:eastAsia="Calibri" w:hAnsi="Times New Roman" w:cs="Times New Roman"/>
          <w:sz w:val="22"/>
          <w:szCs w:val="22"/>
        </w:rPr>
      </w:pPr>
      <w:bookmarkStart w:id="10" w:name="_Toc51302037"/>
      <w:r w:rsidRPr="00E960C9">
        <w:rPr>
          <w:rFonts w:ascii="Times New Roman" w:eastAsia="Calibri" w:hAnsi="Times New Roman" w:cs="Times New Roman"/>
          <w:sz w:val="22"/>
          <w:szCs w:val="22"/>
        </w:rPr>
        <w:t xml:space="preserve">Child </w:t>
      </w:r>
      <w:r w:rsidR="007D7AB8">
        <w:rPr>
          <w:rFonts w:ascii="Times New Roman" w:eastAsia="Calibri" w:hAnsi="Times New Roman" w:cs="Times New Roman"/>
          <w:sz w:val="22"/>
          <w:szCs w:val="22"/>
        </w:rPr>
        <w:t>r</w:t>
      </w:r>
      <w:r w:rsidRPr="00E960C9">
        <w:rPr>
          <w:rFonts w:ascii="Times New Roman" w:eastAsia="Calibri" w:hAnsi="Times New Roman" w:cs="Times New Roman"/>
          <w:sz w:val="22"/>
          <w:szCs w:val="22"/>
        </w:rPr>
        <w:t>ights</w:t>
      </w:r>
      <w:bookmarkEnd w:id="10"/>
      <w:r w:rsidRPr="00E960C9">
        <w:rPr>
          <w:rFonts w:ascii="Times New Roman" w:eastAsia="Calibri" w:hAnsi="Times New Roman" w:cs="Times New Roman"/>
          <w:sz w:val="22"/>
          <w:szCs w:val="22"/>
        </w:rPr>
        <w:t xml:space="preserve"> </w:t>
      </w:r>
    </w:p>
    <w:p w14:paraId="438ECA75" w14:textId="56E45C58"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In 2016 Interagency Governmental Commission on Implementation of UN Convention on the Rights of the Child and on Rights of Child was created to coordinate and monitor unified policy on the protection of child rights.  High officials of ministries and other state agencies are members of the Commission. Local NGOs and international </w:t>
      </w:r>
      <w:r w:rsidR="00C0157F" w:rsidRPr="00E960C9">
        <w:rPr>
          <w:rFonts w:eastAsiaTheme="minorHAnsi"/>
          <w:sz w:val="22"/>
          <w:szCs w:val="22"/>
        </w:rPr>
        <w:t>organisation</w:t>
      </w:r>
      <w:r w:rsidRPr="00E960C9">
        <w:rPr>
          <w:rFonts w:eastAsiaTheme="minorHAnsi"/>
          <w:sz w:val="22"/>
          <w:szCs w:val="22"/>
        </w:rPr>
        <w:t xml:space="preserve">s have consultative status and participate in the work of the Commission. </w:t>
      </w:r>
    </w:p>
    <w:p w14:paraId="57F9B6DB" w14:textId="0F71FF33"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On September </w:t>
      </w:r>
      <w:r w:rsidR="004730B6" w:rsidRPr="00E960C9">
        <w:rPr>
          <w:rFonts w:eastAsiaTheme="minorHAnsi"/>
          <w:sz w:val="22"/>
          <w:szCs w:val="22"/>
        </w:rPr>
        <w:t>20,</w:t>
      </w:r>
      <w:r w:rsidRPr="00E960C9">
        <w:rPr>
          <w:rFonts w:eastAsiaTheme="minorHAnsi"/>
          <w:sz w:val="22"/>
          <w:szCs w:val="22"/>
        </w:rPr>
        <w:t xml:space="preserve"> 2019, the Parliament adopted the Code on the Rights of the Child. </w:t>
      </w:r>
      <w:r w:rsidR="004730B6" w:rsidRPr="00E960C9">
        <w:rPr>
          <w:rFonts w:eastAsiaTheme="minorHAnsi"/>
          <w:sz w:val="22"/>
          <w:szCs w:val="22"/>
        </w:rPr>
        <w:t>The Code</w:t>
      </w:r>
      <w:r w:rsidRPr="00E960C9">
        <w:rPr>
          <w:rFonts w:eastAsiaTheme="minorHAnsi"/>
          <w:sz w:val="22"/>
          <w:szCs w:val="22"/>
        </w:rPr>
        <w:t xml:space="preserve"> is based on the best interest of a child and recognized all rights enshrined in the Convention on the Rights of the Child, created state systems for protection and support of children, introduced state responsibility to develop and offer to children educational, healthcare and social </w:t>
      </w:r>
      <w:r w:rsidR="00025CBB" w:rsidRPr="00E960C9">
        <w:rPr>
          <w:rFonts w:eastAsiaTheme="minorHAnsi"/>
          <w:sz w:val="22"/>
          <w:szCs w:val="22"/>
        </w:rPr>
        <w:t xml:space="preserve">security </w:t>
      </w:r>
      <w:r w:rsidR="000D5D77" w:rsidRPr="00E960C9">
        <w:rPr>
          <w:rFonts w:eastAsiaTheme="minorHAnsi"/>
          <w:sz w:val="22"/>
          <w:szCs w:val="22"/>
        </w:rPr>
        <w:t>Programme</w:t>
      </w:r>
      <w:r w:rsidRPr="00E960C9">
        <w:rPr>
          <w:rFonts w:eastAsiaTheme="minorHAnsi"/>
          <w:sz w:val="22"/>
          <w:szCs w:val="22"/>
        </w:rPr>
        <w:t xml:space="preserve">s. </w:t>
      </w:r>
    </w:p>
    <w:p w14:paraId="21E8CCEC" w14:textId="72F47CFB"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On January 1, 2020, a Juvenile Referral Centre was created in the LEPL Crime Prevention, Enforcement of Non-Custodial Sentences and Probation under the </w:t>
      </w:r>
      <w:r w:rsidR="000A0D77" w:rsidRPr="00E960C9">
        <w:rPr>
          <w:rFonts w:eastAsiaTheme="minorHAnsi"/>
          <w:sz w:val="22"/>
          <w:szCs w:val="22"/>
        </w:rPr>
        <w:t>MOJ</w:t>
      </w:r>
      <w:r w:rsidRPr="00E960C9">
        <w:rPr>
          <w:rFonts w:eastAsiaTheme="minorHAnsi"/>
          <w:sz w:val="22"/>
          <w:szCs w:val="22"/>
        </w:rPr>
        <w:t>. The Centre aims at socialization, re</w:t>
      </w:r>
      <w:r w:rsidR="00025CBB" w:rsidRPr="00E960C9">
        <w:rPr>
          <w:rFonts w:eastAsiaTheme="minorHAnsi"/>
          <w:sz w:val="22"/>
          <w:szCs w:val="22"/>
        </w:rPr>
        <w:t>-</w:t>
      </w:r>
      <w:r w:rsidRPr="00E960C9">
        <w:rPr>
          <w:rFonts w:eastAsiaTheme="minorHAnsi"/>
          <w:sz w:val="22"/>
          <w:szCs w:val="22"/>
        </w:rPr>
        <w:lastRenderedPageBreak/>
        <w:t xml:space="preserve">socialization, rehabilitation, crime prevention through institutional and comprehensive approaches of juveniles under 14 years. </w:t>
      </w:r>
    </w:p>
    <w:p w14:paraId="7B0A39A5" w14:textId="77777777" w:rsidR="00284BA3" w:rsidRPr="00E960C9" w:rsidRDefault="00284BA3" w:rsidP="00904117">
      <w:pPr>
        <w:spacing w:before="120" w:after="120"/>
        <w:jc w:val="both"/>
        <w:rPr>
          <w:rFonts w:eastAsiaTheme="minorHAnsi"/>
          <w:sz w:val="22"/>
          <w:szCs w:val="22"/>
        </w:rPr>
      </w:pPr>
      <w:r w:rsidRPr="00E960C9">
        <w:rPr>
          <w:rFonts w:eastAsiaTheme="minorHAnsi"/>
          <w:sz w:val="22"/>
          <w:szCs w:val="22"/>
        </w:rPr>
        <w:t>On June 12, 2015, the Parliament of Georgia adopted the Juvenile Code of Georgia. One of the major purposes of this Code is to protect the best interests of minors in decision-making and give priority to the use of an alternative mechanism of criminal prosecution. Adoption of the Code changed the application of imprisonment as the sanction of juveniles decreased. In 2016, only 31.5% and in 2017-2018 only 24% of convicted juveniles were sentenced to imprisonment.</w:t>
      </w:r>
    </w:p>
    <w:p w14:paraId="52526CD2" w14:textId="77777777"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Since 2020, any juveniles may use services of the Legal Aid Service (LAS) in all categories of criminal, civil and administrative proceedings. </w:t>
      </w:r>
    </w:p>
    <w:p w14:paraId="3F25941F" w14:textId="23580173"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The Parliamentary Standing Council for the Protection of Child Rights became operational. Its </w:t>
      </w:r>
      <w:r w:rsidR="00025CBB" w:rsidRPr="00E960C9">
        <w:rPr>
          <w:rFonts w:eastAsiaTheme="minorHAnsi"/>
          <w:sz w:val="22"/>
          <w:szCs w:val="22"/>
        </w:rPr>
        <w:t xml:space="preserve">primary </w:t>
      </w:r>
      <w:r w:rsidRPr="00E960C9">
        <w:rPr>
          <w:rFonts w:eastAsiaTheme="minorHAnsi"/>
          <w:sz w:val="22"/>
          <w:szCs w:val="22"/>
        </w:rPr>
        <w:t xml:space="preserve">purpose is to ensure systematic and coordinated work on issues related to child rights protection and oversight execution of decisions concerning child rights. </w:t>
      </w:r>
    </w:p>
    <w:p w14:paraId="1FB04F51" w14:textId="609EF041"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To protect children from any form of abuse, in 2016 the GOG adopted Child </w:t>
      </w:r>
      <w:r w:rsidR="004730B6" w:rsidRPr="00E960C9">
        <w:rPr>
          <w:rFonts w:eastAsiaTheme="minorHAnsi"/>
          <w:sz w:val="22"/>
          <w:szCs w:val="22"/>
        </w:rPr>
        <w:t>Referral</w:t>
      </w:r>
      <w:r w:rsidRPr="00E960C9">
        <w:rPr>
          <w:rFonts w:eastAsiaTheme="minorHAnsi"/>
          <w:sz w:val="22"/>
          <w:szCs w:val="22"/>
        </w:rPr>
        <w:t xml:space="preserve"> Procedures that increased the number of agencies participating in the mechanism (included all institutions that work with children). Administrative liability was introduced if an institution that participates in the mechanism violates an obligation to submit information to the relevant body concerning child abuse.</w:t>
      </w:r>
    </w:p>
    <w:p w14:paraId="49DF9909" w14:textId="017A8259" w:rsidR="00284BA3" w:rsidRPr="00E960C9" w:rsidRDefault="00284BA3" w:rsidP="00904117">
      <w:pPr>
        <w:spacing w:before="120" w:after="120"/>
        <w:jc w:val="both"/>
        <w:rPr>
          <w:rFonts w:eastAsiaTheme="minorHAnsi"/>
          <w:sz w:val="22"/>
          <w:szCs w:val="22"/>
        </w:rPr>
      </w:pPr>
      <w:r w:rsidRPr="00E960C9">
        <w:rPr>
          <w:rFonts w:eastAsiaTheme="minorHAnsi"/>
          <w:sz w:val="22"/>
          <w:szCs w:val="22"/>
        </w:rPr>
        <w:t xml:space="preserve">The role of a social worker was also increased. S/he is entitled to </w:t>
      </w:r>
      <w:r w:rsidR="00A422CF" w:rsidRPr="00E960C9">
        <w:rPr>
          <w:rFonts w:eastAsiaTheme="minorHAnsi"/>
          <w:sz w:val="22"/>
          <w:szCs w:val="22"/>
        </w:rPr>
        <w:t>decide</w:t>
      </w:r>
      <w:r w:rsidRPr="00E960C9">
        <w:rPr>
          <w:rFonts w:eastAsiaTheme="minorHAnsi"/>
          <w:sz w:val="22"/>
          <w:szCs w:val="22"/>
        </w:rPr>
        <w:t xml:space="preserve"> on </w:t>
      </w:r>
      <w:r w:rsidR="00CC6E2F" w:rsidRPr="00E960C9">
        <w:rPr>
          <w:rFonts w:eastAsiaTheme="minorHAnsi"/>
          <w:sz w:val="22"/>
          <w:szCs w:val="22"/>
        </w:rPr>
        <w:t xml:space="preserve">the </w:t>
      </w:r>
      <w:r w:rsidRPr="00E960C9">
        <w:rPr>
          <w:rFonts w:eastAsiaTheme="minorHAnsi"/>
          <w:sz w:val="22"/>
          <w:szCs w:val="22"/>
        </w:rPr>
        <w:t xml:space="preserve">separation of a child from an abused in case of necessity. </w:t>
      </w:r>
    </w:p>
    <w:p w14:paraId="21FEDA78" w14:textId="77777777" w:rsidR="00284BA3" w:rsidRPr="00E960C9" w:rsidRDefault="00284BA3" w:rsidP="00904117">
      <w:pPr>
        <w:spacing w:before="120" w:after="120"/>
        <w:jc w:val="both"/>
        <w:rPr>
          <w:rFonts w:eastAsiaTheme="minorHAnsi"/>
          <w:sz w:val="22"/>
          <w:szCs w:val="22"/>
        </w:rPr>
      </w:pPr>
      <w:r w:rsidRPr="00E960C9">
        <w:rPr>
          <w:rFonts w:eastAsiaTheme="minorHAnsi"/>
          <w:sz w:val="22"/>
          <w:szCs w:val="22"/>
        </w:rPr>
        <w:t>It is noteworthy that in 2018 the Law on Social Work was adopted that significantly improved work of social workers.</w:t>
      </w:r>
    </w:p>
    <w:p w14:paraId="1A34CBD9" w14:textId="7B01D2D8" w:rsidR="00BB1BF1" w:rsidRPr="00E960C9" w:rsidRDefault="00284BA3" w:rsidP="00904117">
      <w:pPr>
        <w:spacing w:before="120" w:after="120"/>
        <w:jc w:val="both"/>
        <w:rPr>
          <w:rFonts w:eastAsia="Calibri"/>
          <w:sz w:val="22"/>
          <w:szCs w:val="22"/>
        </w:rPr>
      </w:pPr>
      <w:r w:rsidRPr="00E960C9">
        <w:rPr>
          <w:rFonts w:eastAsiaTheme="minorHAnsi"/>
          <w:sz w:val="22"/>
          <w:szCs w:val="22"/>
        </w:rPr>
        <w:t xml:space="preserve">Since 2019 LEPL Social Service Agency (since 2020 LEPL Agency for State Care and Assistance for the (Statutory) Victims of Human Trafficking is the successor of the Social Service Agency in matters related to guardianship, custodianship and international child adoption) has been implementing Project on Strengthening Protection and Welfare Systems of Children. The Project </w:t>
      </w:r>
      <w:r w:rsidR="00CC6E2F" w:rsidRPr="00E960C9">
        <w:rPr>
          <w:rFonts w:eastAsiaTheme="minorHAnsi"/>
          <w:sz w:val="22"/>
          <w:szCs w:val="22"/>
        </w:rPr>
        <w:t>aimed at</w:t>
      </w:r>
      <w:r w:rsidRPr="00E960C9">
        <w:rPr>
          <w:rFonts w:eastAsiaTheme="minorHAnsi"/>
          <w:sz w:val="22"/>
          <w:szCs w:val="22"/>
        </w:rPr>
        <w:t xml:space="preserve"> the development of child protection and welfare systems, identification of vulnerable families, improvement of the quality of the alternative care service, facilitate deinstitutionalization process and upgrade of protection mechanisms.</w:t>
      </w:r>
    </w:p>
    <w:p w14:paraId="672206E2" w14:textId="3F760D7B" w:rsidR="00B71766" w:rsidRPr="00E960C9" w:rsidRDefault="00B71766" w:rsidP="00904117">
      <w:pPr>
        <w:spacing w:before="120" w:after="120"/>
        <w:jc w:val="both"/>
        <w:rPr>
          <w:rFonts w:eastAsia="Calibri"/>
          <w:sz w:val="22"/>
          <w:szCs w:val="22"/>
        </w:rPr>
      </w:pPr>
      <w:r w:rsidRPr="00E960C9">
        <w:rPr>
          <w:rFonts w:eastAsia="Calibri"/>
          <w:sz w:val="22"/>
          <w:szCs w:val="22"/>
        </w:rPr>
        <w:t xml:space="preserve">In 2019 the GOG set up a working group. Its purpose is to develop a concept on psychosocial services for children who were victims of abuse and implement a pilot project. A child-oriented, multi-disciplinary and multi-sectoral approach was created that will deliver psychosocial rehabilitation service using single-window principle. </w:t>
      </w:r>
    </w:p>
    <w:p w14:paraId="1F6F0483" w14:textId="11B76E51" w:rsidR="00B71766" w:rsidRPr="00E960C9" w:rsidRDefault="00B71766" w:rsidP="00904117">
      <w:pPr>
        <w:spacing w:before="120" w:after="120"/>
        <w:jc w:val="both"/>
        <w:rPr>
          <w:rFonts w:eastAsia="Calibri"/>
          <w:sz w:val="22"/>
          <w:szCs w:val="22"/>
        </w:rPr>
      </w:pPr>
      <w:r w:rsidRPr="00E960C9">
        <w:rPr>
          <w:rFonts w:eastAsia="Calibri"/>
          <w:sz w:val="22"/>
          <w:szCs w:val="22"/>
        </w:rPr>
        <w:t xml:space="preserve">On January 1, 2017, all </w:t>
      </w:r>
      <w:r w:rsidR="00C0157F" w:rsidRPr="00E960C9">
        <w:rPr>
          <w:rFonts w:eastAsia="Calibri"/>
          <w:sz w:val="22"/>
          <w:szCs w:val="22"/>
        </w:rPr>
        <w:t>reservations</w:t>
      </w:r>
      <w:r w:rsidRPr="00E960C9">
        <w:rPr>
          <w:rFonts w:eastAsia="Calibri"/>
          <w:sz w:val="22"/>
          <w:szCs w:val="22"/>
        </w:rPr>
        <w:t xml:space="preserve"> that allowed the marriage of persons under 18 years</w:t>
      </w:r>
      <w:r w:rsidR="00BD764F" w:rsidRPr="00E960C9">
        <w:rPr>
          <w:rFonts w:eastAsia="Calibri"/>
          <w:sz w:val="22"/>
          <w:szCs w:val="22"/>
        </w:rPr>
        <w:t xml:space="preserve"> were cancelled</w:t>
      </w:r>
      <w:r w:rsidRPr="00E960C9">
        <w:rPr>
          <w:rFonts w:eastAsia="Calibri"/>
          <w:sz w:val="22"/>
          <w:szCs w:val="22"/>
        </w:rPr>
        <w:t xml:space="preserve">. Now marriage is </w:t>
      </w:r>
      <w:r w:rsidR="000D5D77" w:rsidRPr="00E960C9">
        <w:rPr>
          <w:rFonts w:eastAsia="Calibri"/>
          <w:sz w:val="22"/>
          <w:szCs w:val="22"/>
        </w:rPr>
        <w:t xml:space="preserve">permitted </w:t>
      </w:r>
      <w:r w:rsidRPr="00E960C9">
        <w:rPr>
          <w:rFonts w:eastAsia="Calibri"/>
          <w:sz w:val="22"/>
          <w:szCs w:val="22"/>
        </w:rPr>
        <w:t xml:space="preserve">only for persons older than 18 years. Besides, the awareness-raising campaign for the prevention of early marriage is systematically conducted. </w:t>
      </w:r>
    </w:p>
    <w:p w14:paraId="010CEB76" w14:textId="6898F0F2" w:rsidR="00B71766" w:rsidRPr="00E960C9" w:rsidRDefault="00B71766" w:rsidP="00904117">
      <w:pPr>
        <w:spacing w:before="120" w:after="120"/>
        <w:jc w:val="both"/>
        <w:rPr>
          <w:rFonts w:eastAsia="Calibri"/>
          <w:sz w:val="22"/>
          <w:szCs w:val="22"/>
        </w:rPr>
      </w:pPr>
      <w:r w:rsidRPr="00E960C9">
        <w:rPr>
          <w:rFonts w:eastAsia="Calibri"/>
          <w:sz w:val="22"/>
          <w:szCs w:val="22"/>
        </w:rPr>
        <w:t xml:space="preserve">The State takes care of children working and living in the street. The </w:t>
      </w:r>
      <w:r w:rsidR="000D5D77" w:rsidRPr="00E960C9">
        <w:rPr>
          <w:rFonts w:eastAsia="Calibri"/>
          <w:sz w:val="22"/>
          <w:szCs w:val="22"/>
        </w:rPr>
        <w:t xml:space="preserve">legislation </w:t>
      </w:r>
      <w:r w:rsidRPr="00E960C9">
        <w:rPr>
          <w:rFonts w:eastAsia="Calibri"/>
          <w:sz w:val="22"/>
          <w:szCs w:val="22"/>
        </w:rPr>
        <w:t xml:space="preserve">introduced the definition of “a street child”. Besides, </w:t>
      </w:r>
      <w:r w:rsidR="000D5D77" w:rsidRPr="00E960C9">
        <w:rPr>
          <w:rFonts w:eastAsia="Calibri"/>
          <w:sz w:val="22"/>
          <w:szCs w:val="22"/>
        </w:rPr>
        <w:t>under the Law,</w:t>
      </w:r>
      <w:r w:rsidRPr="00E960C9">
        <w:rPr>
          <w:rFonts w:eastAsia="Calibri"/>
          <w:sz w:val="22"/>
          <w:szCs w:val="22"/>
        </w:rPr>
        <w:t xml:space="preserve"> the State </w:t>
      </w:r>
      <w:r w:rsidR="000D5D77" w:rsidRPr="00E960C9">
        <w:rPr>
          <w:rFonts w:eastAsia="Calibri"/>
          <w:sz w:val="22"/>
          <w:szCs w:val="22"/>
        </w:rPr>
        <w:t xml:space="preserve">may </w:t>
      </w:r>
      <w:r w:rsidRPr="00E960C9">
        <w:rPr>
          <w:rFonts w:eastAsia="Calibri"/>
          <w:sz w:val="22"/>
          <w:szCs w:val="22"/>
        </w:rPr>
        <w:t>issue identification documents to such children that would allow them to access healthcare, education, social protection and other services. Street children receive identification documents free of charge. The GOG is working on the Strategy on Protection of Children Living or Working in the Street from all Forms of Abuse.</w:t>
      </w:r>
    </w:p>
    <w:p w14:paraId="67B1C77C" w14:textId="69AA96E5" w:rsidR="00B71766" w:rsidRPr="00E960C9" w:rsidRDefault="00B71766" w:rsidP="00904117">
      <w:pPr>
        <w:spacing w:before="120" w:after="120"/>
        <w:jc w:val="both"/>
        <w:rPr>
          <w:rFonts w:eastAsia="Calibri"/>
          <w:sz w:val="22"/>
          <w:szCs w:val="22"/>
        </w:rPr>
      </w:pPr>
      <w:r w:rsidRPr="00E960C9">
        <w:rPr>
          <w:rFonts w:eastAsia="Calibri"/>
          <w:sz w:val="22"/>
          <w:szCs w:val="22"/>
        </w:rPr>
        <w:t xml:space="preserve">The State is implementing the </w:t>
      </w:r>
      <w:r w:rsidR="000D5D77" w:rsidRPr="00E960C9">
        <w:rPr>
          <w:rFonts w:eastAsia="Calibri"/>
          <w:sz w:val="22"/>
          <w:szCs w:val="22"/>
        </w:rPr>
        <w:t>Programme</w:t>
      </w:r>
      <w:r w:rsidRPr="00E960C9">
        <w:rPr>
          <w:rFonts w:eastAsia="Calibri"/>
          <w:sz w:val="22"/>
          <w:szCs w:val="22"/>
        </w:rPr>
        <w:t xml:space="preserve"> on Providing Shelter for Street Children</w:t>
      </w:r>
      <w:r w:rsidR="00F603BD" w:rsidRPr="00E960C9">
        <w:rPr>
          <w:rFonts w:eastAsia="Calibri"/>
          <w:sz w:val="22"/>
          <w:szCs w:val="22"/>
        </w:rPr>
        <w:t xml:space="preserve"> </w:t>
      </w:r>
      <w:r w:rsidRPr="00E960C9">
        <w:rPr>
          <w:rFonts w:eastAsia="Calibri"/>
          <w:sz w:val="22"/>
          <w:szCs w:val="22"/>
        </w:rPr>
        <w:t xml:space="preserve">that is aimed at rehabilitation and integration of street children, including children living and working in the street. Within the framework of this </w:t>
      </w:r>
      <w:r w:rsidR="000D5D77" w:rsidRPr="00E960C9">
        <w:rPr>
          <w:rFonts w:eastAsia="Calibri"/>
          <w:sz w:val="22"/>
          <w:szCs w:val="22"/>
        </w:rPr>
        <w:t>Programme</w:t>
      </w:r>
      <w:r w:rsidRPr="00E960C9">
        <w:rPr>
          <w:rFonts w:eastAsia="Calibri"/>
          <w:sz w:val="22"/>
          <w:szCs w:val="22"/>
        </w:rPr>
        <w:t>, services were delivered to 214 beneficiaries in 2016, 270 beneficiaries – in 2017, 188 beneficiaries – in 2018, 259 beneficiaries - in 2019 and 194 beneficiaries – in 2020 (1st quarter).</w:t>
      </w:r>
    </w:p>
    <w:p w14:paraId="2A3ED40A" w14:textId="77777777" w:rsidR="00B71766" w:rsidRPr="00E960C9" w:rsidRDefault="00B71766" w:rsidP="00904117">
      <w:pPr>
        <w:spacing w:before="120" w:after="120"/>
        <w:jc w:val="both"/>
        <w:rPr>
          <w:rFonts w:eastAsia="Calibri"/>
          <w:sz w:val="22"/>
          <w:szCs w:val="22"/>
        </w:rPr>
      </w:pPr>
      <w:r w:rsidRPr="00E960C9">
        <w:rPr>
          <w:rFonts w:eastAsia="Calibri"/>
          <w:sz w:val="22"/>
          <w:szCs w:val="22"/>
        </w:rPr>
        <w:lastRenderedPageBreak/>
        <w:t>In 2016 a new Law on Adoption and Foster Care was adopted that is more oriented on child protection. Children deprived the family environment shall be placed in relevant alternative services respecting their best interest.</w:t>
      </w:r>
    </w:p>
    <w:p w14:paraId="47594977" w14:textId="77777777" w:rsidR="00B71766" w:rsidRPr="00E960C9" w:rsidRDefault="00B71766" w:rsidP="00904117">
      <w:pPr>
        <w:spacing w:before="120" w:after="120"/>
        <w:jc w:val="both"/>
        <w:rPr>
          <w:rFonts w:eastAsia="Calibri"/>
          <w:sz w:val="22"/>
          <w:szCs w:val="22"/>
        </w:rPr>
      </w:pPr>
      <w:r w:rsidRPr="00E960C9">
        <w:rPr>
          <w:rFonts w:eastAsia="Calibri"/>
          <w:sz w:val="22"/>
          <w:szCs w:val="22"/>
        </w:rPr>
        <w:t xml:space="preserve">It is also noteworthy that the Law on Civil Status Acts provides mandatory registration of all children born on the territory of Georgia.  </w:t>
      </w:r>
    </w:p>
    <w:p w14:paraId="2112050E" w14:textId="794742C2" w:rsidR="00BB1BF1" w:rsidRPr="00E960C9" w:rsidRDefault="00B71766" w:rsidP="00904117">
      <w:pPr>
        <w:spacing w:before="120" w:after="120"/>
        <w:jc w:val="both"/>
        <w:rPr>
          <w:sz w:val="22"/>
          <w:szCs w:val="22"/>
        </w:rPr>
      </w:pPr>
      <w:r w:rsidRPr="00E960C9">
        <w:rPr>
          <w:rFonts w:eastAsia="Calibri"/>
          <w:sz w:val="22"/>
          <w:szCs w:val="22"/>
        </w:rPr>
        <w:t>The GOG Resolution # 437 (September 12, 2016) on Approval of Child Referral Procedures defines that an act of physical punishment of child that causes pain or suffering constitutes the form of child abuse.</w:t>
      </w:r>
    </w:p>
    <w:p w14:paraId="229E639B" w14:textId="7BA50714" w:rsidR="00BB1BF1" w:rsidRPr="00E960C9" w:rsidRDefault="008F7985" w:rsidP="00904117">
      <w:pPr>
        <w:pStyle w:val="Heading2"/>
        <w:numPr>
          <w:ilvl w:val="0"/>
          <w:numId w:val="16"/>
        </w:numPr>
        <w:spacing w:before="120" w:after="120"/>
        <w:jc w:val="both"/>
        <w:rPr>
          <w:rFonts w:ascii="Times New Roman" w:hAnsi="Times New Roman" w:cs="Times New Roman"/>
          <w:sz w:val="22"/>
          <w:szCs w:val="22"/>
        </w:rPr>
      </w:pPr>
      <w:bookmarkStart w:id="11" w:name="_Toc51302038"/>
      <w:r w:rsidRPr="00E960C9">
        <w:rPr>
          <w:rFonts w:ascii="Times New Roman" w:eastAsia="Calibri" w:hAnsi="Times New Roman" w:cs="Times New Roman"/>
          <w:sz w:val="22"/>
          <w:szCs w:val="22"/>
        </w:rPr>
        <w:t xml:space="preserve">Right to </w:t>
      </w:r>
      <w:r w:rsidR="007D7AB8" w:rsidRPr="00E960C9">
        <w:rPr>
          <w:rFonts w:ascii="Times New Roman" w:eastAsia="Calibri" w:hAnsi="Times New Roman" w:cs="Times New Roman"/>
          <w:sz w:val="22"/>
          <w:szCs w:val="22"/>
        </w:rPr>
        <w:t>fair trial</w:t>
      </w:r>
      <w:bookmarkEnd w:id="11"/>
      <w:r w:rsidR="007D7AB8" w:rsidRPr="00E960C9">
        <w:rPr>
          <w:rFonts w:ascii="Times New Roman" w:eastAsia="Calibri" w:hAnsi="Times New Roman" w:cs="Times New Roman"/>
          <w:sz w:val="22"/>
          <w:szCs w:val="22"/>
        </w:rPr>
        <w:t xml:space="preserve"> </w:t>
      </w:r>
    </w:p>
    <w:p w14:paraId="5802CBF9" w14:textId="77777777"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In 2014-2019 so-called “third” and “fourth” waves of judicial reforms resulted in increased safeguards of independence, accountability, effectiveness, transparency and accessibility of judiciary. </w:t>
      </w:r>
    </w:p>
    <w:p w14:paraId="7E57E40C" w14:textId="77777777"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The legislation specified detailed criteria for selection of judges, improved procedures for selection and appointment of candidates. Every candidate shall be appointed as a judge only through the competition. </w:t>
      </w:r>
    </w:p>
    <w:p w14:paraId="0CD4A356" w14:textId="77777777"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To increase independence and effectiveness of the judiciary, and improve trust in the judicial system, in 2018 the electronic system of case distribution at courts was launched; in 2019 unified database of court decisions was also launched. </w:t>
      </w:r>
    </w:p>
    <w:p w14:paraId="548AE133" w14:textId="46104E2C"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The reform resulted in increased independence and accountability of the High Council of Justice, as well as the independence of the </w:t>
      </w:r>
      <w:proofErr w:type="spellStart"/>
      <w:r w:rsidRPr="00E960C9">
        <w:rPr>
          <w:rFonts w:eastAsia="Calibri"/>
          <w:sz w:val="22"/>
          <w:szCs w:val="22"/>
        </w:rPr>
        <w:t>Hight</w:t>
      </w:r>
      <w:proofErr w:type="spellEnd"/>
      <w:r w:rsidRPr="00E960C9">
        <w:rPr>
          <w:rFonts w:eastAsia="Calibri"/>
          <w:sz w:val="22"/>
          <w:szCs w:val="22"/>
        </w:rPr>
        <w:t xml:space="preserve"> School of Justice</w:t>
      </w:r>
      <w:r w:rsidR="000D5D77" w:rsidRPr="00E960C9">
        <w:rPr>
          <w:rFonts w:eastAsia="Calibri"/>
          <w:sz w:val="22"/>
          <w:szCs w:val="22"/>
        </w:rPr>
        <w:t>.</w:t>
      </w:r>
      <w:r w:rsidR="000D5D77" w:rsidRPr="00E960C9" w:rsidDel="000D5D77">
        <w:rPr>
          <w:rFonts w:eastAsia="Calibri"/>
          <w:sz w:val="22"/>
          <w:szCs w:val="22"/>
        </w:rPr>
        <w:t xml:space="preserve"> </w:t>
      </w:r>
      <w:r w:rsidR="000D5D77" w:rsidRPr="00E960C9">
        <w:rPr>
          <w:rFonts w:eastAsia="Calibri"/>
          <w:sz w:val="22"/>
          <w:szCs w:val="22"/>
        </w:rPr>
        <w:t>I</w:t>
      </w:r>
      <w:r w:rsidRPr="00E960C9">
        <w:rPr>
          <w:rFonts w:eastAsia="Calibri"/>
          <w:sz w:val="22"/>
          <w:szCs w:val="22"/>
        </w:rPr>
        <w:t xml:space="preserve">t is mandatory to justify and publish decisions on the life-long appointment of judges and appointment of court chairpersons; rules on conflict of interest were also developed. </w:t>
      </w:r>
    </w:p>
    <w:p w14:paraId="6EEE3BE3" w14:textId="7A93D2FC" w:rsidR="008C3846" w:rsidRPr="00E960C9" w:rsidRDefault="00320543" w:rsidP="00904117">
      <w:pPr>
        <w:spacing w:before="120" w:after="120"/>
        <w:jc w:val="both"/>
        <w:rPr>
          <w:rFonts w:eastAsia="Calibri"/>
          <w:sz w:val="22"/>
          <w:szCs w:val="22"/>
        </w:rPr>
      </w:pPr>
      <w:r w:rsidRPr="00E960C9">
        <w:rPr>
          <w:rFonts w:eastAsia="Calibri"/>
          <w:sz w:val="22"/>
          <w:szCs w:val="22"/>
        </w:rPr>
        <w:t>To</w:t>
      </w:r>
      <w:r w:rsidR="008C3846" w:rsidRPr="00E960C9">
        <w:rPr>
          <w:rFonts w:eastAsia="Calibri"/>
          <w:sz w:val="22"/>
          <w:szCs w:val="22"/>
        </w:rPr>
        <w:t xml:space="preserve"> ensure an objective, unbiased and comprehensive examination of alleged disciplinary misconducts of judges, </w:t>
      </w:r>
      <w:proofErr w:type="gramStart"/>
      <w:r w:rsidR="008C3846" w:rsidRPr="00E960C9">
        <w:rPr>
          <w:rFonts w:eastAsia="Calibri"/>
          <w:sz w:val="22"/>
          <w:szCs w:val="22"/>
        </w:rPr>
        <w:t>a</w:t>
      </w:r>
      <w:proofErr w:type="gramEnd"/>
      <w:r w:rsidR="008C3846" w:rsidRPr="00E960C9">
        <w:rPr>
          <w:rFonts w:eastAsia="Calibri"/>
          <w:sz w:val="22"/>
          <w:szCs w:val="22"/>
        </w:rPr>
        <w:t xml:space="preserve"> position of an independent inspector was introduced who operates independently from the High Council of Justice. Disciplinary proceedings were also upgraded. </w:t>
      </w:r>
    </w:p>
    <w:p w14:paraId="447C75EA" w14:textId="450FE4CE"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In 2019 the </w:t>
      </w:r>
      <w:r w:rsidR="00C0157F" w:rsidRPr="00E960C9">
        <w:rPr>
          <w:rFonts w:eastAsia="Calibri"/>
          <w:sz w:val="22"/>
          <w:szCs w:val="22"/>
        </w:rPr>
        <w:t>P</w:t>
      </w:r>
      <w:r w:rsidRPr="00E960C9">
        <w:rPr>
          <w:rFonts w:eastAsia="Calibri"/>
          <w:sz w:val="22"/>
          <w:szCs w:val="22"/>
        </w:rPr>
        <w:t xml:space="preserve">arliament adopted the legislative initiative on mediation that institutionalized court-attached and private mediation. Mediation allows parties to resolve conflict with support of qualified mediators enlisted in the Unified List of Mediators. Mediation is faster and cheaper compared to court proceedings. </w:t>
      </w:r>
    </w:p>
    <w:p w14:paraId="0CC8E5BB" w14:textId="1412080F"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In 2018 the </w:t>
      </w:r>
      <w:r w:rsidR="000A0D77" w:rsidRPr="00E960C9">
        <w:rPr>
          <w:rFonts w:eastAsia="Calibri"/>
          <w:sz w:val="22"/>
          <w:szCs w:val="22"/>
        </w:rPr>
        <w:t>MOJ</w:t>
      </w:r>
      <w:r w:rsidRPr="00E960C9">
        <w:rPr>
          <w:rFonts w:eastAsia="Calibri"/>
          <w:sz w:val="22"/>
          <w:szCs w:val="22"/>
        </w:rPr>
        <w:t xml:space="preserve"> signed a Memorandum of Understanding (MOU) with the International Court of Arbitration; according to the MOU, the parties will study the dispute resolution market in the region and jointly strive to bolster Georgia’s profile as the arbitration hub for the region. </w:t>
      </w:r>
    </w:p>
    <w:p w14:paraId="1221E5EB" w14:textId="77777777" w:rsidR="008C3846" w:rsidRPr="00E960C9" w:rsidRDefault="008C3846" w:rsidP="00904117">
      <w:pPr>
        <w:spacing w:before="120" w:after="120"/>
        <w:jc w:val="both"/>
        <w:rPr>
          <w:rFonts w:eastAsia="Calibri"/>
          <w:sz w:val="22"/>
          <w:szCs w:val="22"/>
        </w:rPr>
      </w:pPr>
      <w:r w:rsidRPr="00E960C9">
        <w:rPr>
          <w:rFonts w:eastAsia="Calibri"/>
          <w:sz w:val="22"/>
          <w:szCs w:val="22"/>
        </w:rPr>
        <w:t>On August 7, 2019, Georgia signed the United Nations Convention on International Settlement Agreements Resulting from Mediation.</w:t>
      </w:r>
    </w:p>
    <w:p w14:paraId="397E1794" w14:textId="3005C578" w:rsidR="008C3846" w:rsidRPr="00E960C9" w:rsidRDefault="008C3846" w:rsidP="00904117">
      <w:pPr>
        <w:spacing w:before="120" w:after="120"/>
        <w:jc w:val="both"/>
        <w:rPr>
          <w:rFonts w:eastAsia="Calibri"/>
          <w:sz w:val="22"/>
          <w:szCs w:val="22"/>
        </w:rPr>
      </w:pPr>
      <w:r w:rsidRPr="00E960C9">
        <w:rPr>
          <w:rFonts w:eastAsia="Calibri"/>
          <w:sz w:val="22"/>
          <w:szCs w:val="22"/>
        </w:rPr>
        <w:t xml:space="preserve">In order to </w:t>
      </w:r>
      <w:r w:rsidR="00A422CF" w:rsidRPr="00E960C9">
        <w:rPr>
          <w:rFonts w:eastAsia="Calibri"/>
          <w:sz w:val="22"/>
          <w:szCs w:val="22"/>
        </w:rPr>
        <w:t>upgrade</w:t>
      </w:r>
      <w:r w:rsidRPr="00E960C9">
        <w:rPr>
          <w:rFonts w:eastAsia="Calibri"/>
          <w:sz w:val="22"/>
          <w:szCs w:val="22"/>
        </w:rPr>
        <w:t xml:space="preserve"> the jury trial system and ensure its compliance with international standards, legislative amendments were adopted aiming to: </w:t>
      </w:r>
    </w:p>
    <w:p w14:paraId="355B4CE0"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change selection procedures of jurors to ensure completion of the selection process in a reasonable time; </w:t>
      </w:r>
    </w:p>
    <w:p w14:paraId="0AA10B7D"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redefine conflict of interest of jurors; </w:t>
      </w:r>
    </w:p>
    <w:p w14:paraId="5F427347" w14:textId="77777777" w:rsidR="008C3846" w:rsidRPr="00E960C9" w:rsidRDefault="008C3846" w:rsidP="00904117">
      <w:pPr>
        <w:pStyle w:val="ListParagraph"/>
        <w:numPr>
          <w:ilvl w:val="0"/>
          <w:numId w:val="17"/>
        </w:numPr>
        <w:spacing w:before="120" w:after="120"/>
        <w:jc w:val="both"/>
        <w:rPr>
          <w:rFonts w:eastAsia="Calibri"/>
          <w:sz w:val="22"/>
          <w:szCs w:val="22"/>
        </w:rPr>
      </w:pPr>
      <w:r w:rsidRPr="00E960C9">
        <w:rPr>
          <w:rFonts w:eastAsia="Calibri"/>
          <w:sz w:val="22"/>
          <w:szCs w:val="22"/>
        </w:rPr>
        <w:t xml:space="preserve">introduce additional guarantees for impartiality and security of jurors; </w:t>
      </w:r>
    </w:p>
    <w:p w14:paraId="134D65D4" w14:textId="77777777" w:rsidR="008C3846" w:rsidRPr="00E960C9" w:rsidRDefault="008C3846" w:rsidP="00904117">
      <w:pPr>
        <w:pStyle w:val="ListParagraph"/>
        <w:numPr>
          <w:ilvl w:val="0"/>
          <w:numId w:val="17"/>
        </w:numPr>
        <w:spacing w:before="120" w:after="120"/>
        <w:jc w:val="both"/>
        <w:rPr>
          <w:rFonts w:eastAsia="Calibri"/>
          <w:sz w:val="22"/>
          <w:szCs w:val="22"/>
        </w:rPr>
      </w:pPr>
      <w:proofErr w:type="gramStart"/>
      <w:r w:rsidRPr="00E960C9">
        <w:rPr>
          <w:rFonts w:eastAsia="Calibri"/>
          <w:sz w:val="22"/>
          <w:szCs w:val="22"/>
        </w:rPr>
        <w:t>change</w:t>
      </w:r>
      <w:proofErr w:type="gramEnd"/>
      <w:r w:rsidRPr="00E960C9">
        <w:rPr>
          <w:rFonts w:eastAsia="Calibri"/>
          <w:sz w:val="22"/>
          <w:szCs w:val="22"/>
        </w:rPr>
        <w:t xml:space="preserve"> rules for challenging jurors and voting of jurors to eliminate the practice of abuse of unjustified challenging and ensure more organized process. </w:t>
      </w:r>
    </w:p>
    <w:p w14:paraId="1E702FF7" w14:textId="50B2E1E0" w:rsidR="00BB1BF1" w:rsidRPr="00E960C9" w:rsidRDefault="008C3846" w:rsidP="00904117">
      <w:pPr>
        <w:spacing w:before="120" w:after="120"/>
        <w:jc w:val="both"/>
        <w:rPr>
          <w:sz w:val="22"/>
          <w:szCs w:val="22"/>
        </w:rPr>
      </w:pPr>
      <w:r w:rsidRPr="00E960C9">
        <w:rPr>
          <w:rFonts w:eastAsia="Calibri"/>
          <w:sz w:val="22"/>
          <w:szCs w:val="22"/>
        </w:rPr>
        <w:t xml:space="preserve">Since 2015 the mandate of Legal Aid Service was significantly expanded: legal aid service, including in cases related to family, inheritance and social protection legislation, is now available for persons who are socially vulnerable and if the case is complex and significant. </w:t>
      </w:r>
      <w:r w:rsidR="00A422CF" w:rsidRPr="00E960C9">
        <w:rPr>
          <w:rFonts w:eastAsia="Calibri"/>
          <w:sz w:val="22"/>
          <w:szCs w:val="22"/>
        </w:rPr>
        <w:t>Before, free</w:t>
      </w:r>
      <w:r w:rsidRPr="00E960C9">
        <w:rPr>
          <w:rFonts w:eastAsia="Calibri"/>
          <w:sz w:val="22"/>
          <w:szCs w:val="22"/>
        </w:rPr>
        <w:t xml:space="preserve"> legal aid was available only in criminal cases</w:t>
      </w:r>
    </w:p>
    <w:p w14:paraId="26CE4829" w14:textId="30FF0361" w:rsidR="00E20F51" w:rsidRPr="00E960C9" w:rsidRDefault="008F7985" w:rsidP="00904117">
      <w:pPr>
        <w:pStyle w:val="Heading2"/>
        <w:numPr>
          <w:ilvl w:val="0"/>
          <w:numId w:val="16"/>
        </w:numPr>
        <w:spacing w:before="120" w:after="120"/>
        <w:jc w:val="both"/>
        <w:rPr>
          <w:rFonts w:ascii="Times New Roman" w:hAnsi="Times New Roman" w:cs="Times New Roman"/>
          <w:sz w:val="22"/>
          <w:szCs w:val="22"/>
        </w:rPr>
      </w:pPr>
      <w:bookmarkStart w:id="12" w:name="_Toc51302039"/>
      <w:r w:rsidRPr="00E960C9">
        <w:rPr>
          <w:rFonts w:ascii="Times New Roman" w:eastAsia="Calibri" w:hAnsi="Times New Roman" w:cs="Times New Roman"/>
          <w:sz w:val="22"/>
          <w:szCs w:val="22"/>
        </w:rPr>
        <w:lastRenderedPageBreak/>
        <w:t xml:space="preserve">State </w:t>
      </w:r>
      <w:r w:rsidR="007D7AB8" w:rsidRPr="00E960C9">
        <w:rPr>
          <w:rFonts w:ascii="Times New Roman" w:eastAsia="Calibri" w:hAnsi="Times New Roman" w:cs="Times New Roman"/>
          <w:sz w:val="22"/>
          <w:szCs w:val="22"/>
        </w:rPr>
        <w:t>policy on fight against torture</w:t>
      </w:r>
      <w:bookmarkEnd w:id="12"/>
      <w:r w:rsidR="007D7AB8" w:rsidRPr="00E960C9">
        <w:rPr>
          <w:rFonts w:ascii="Times New Roman" w:eastAsia="Calibri" w:hAnsi="Times New Roman" w:cs="Times New Roman"/>
          <w:sz w:val="22"/>
          <w:szCs w:val="22"/>
        </w:rPr>
        <w:t xml:space="preserve"> </w:t>
      </w:r>
    </w:p>
    <w:p w14:paraId="107957AD" w14:textId="0699EC5F" w:rsidR="00C4177A" w:rsidRPr="00E960C9" w:rsidRDefault="00C4177A" w:rsidP="00904117">
      <w:pPr>
        <w:spacing w:before="120" w:after="120"/>
        <w:jc w:val="both"/>
        <w:rPr>
          <w:rFonts w:eastAsia="Calibri"/>
          <w:sz w:val="22"/>
          <w:szCs w:val="22"/>
        </w:rPr>
      </w:pPr>
      <w:r w:rsidRPr="00E960C9">
        <w:rPr>
          <w:rFonts w:eastAsia="Calibri"/>
          <w:sz w:val="22"/>
          <w:szCs w:val="22"/>
        </w:rPr>
        <w:t xml:space="preserve">The Inter-agency Coordinating Council against Torture and Other Cruel, Inhuman or Degrading Treatment or Punishment chaired by the Minister of Justice is a central institution responsible for policymaking in this field. The action plans for 2008-2009, 2011-2013, 2015-2016, 2017-2018 and 2019-2020 were developed within the framework of the activities of the Interagency Council as a result of collaborated work of governmental institutions, Office of the Public Defender, non-governmental </w:t>
      </w:r>
      <w:r w:rsidR="00C0157F" w:rsidRPr="00E960C9">
        <w:rPr>
          <w:rFonts w:eastAsia="Calibri"/>
          <w:sz w:val="22"/>
          <w:szCs w:val="22"/>
        </w:rPr>
        <w:t>organisation</w:t>
      </w:r>
      <w:r w:rsidRPr="00E960C9">
        <w:rPr>
          <w:rFonts w:eastAsia="Calibri"/>
          <w:sz w:val="22"/>
          <w:szCs w:val="22"/>
        </w:rPr>
        <w:t xml:space="preserve">s and international </w:t>
      </w:r>
      <w:r w:rsidR="00C0157F" w:rsidRPr="00E960C9">
        <w:rPr>
          <w:rFonts w:eastAsia="Calibri"/>
          <w:sz w:val="22"/>
          <w:szCs w:val="22"/>
        </w:rPr>
        <w:t>organisation</w:t>
      </w:r>
      <w:r w:rsidRPr="00E960C9">
        <w:rPr>
          <w:rFonts w:eastAsia="Calibri"/>
          <w:sz w:val="22"/>
          <w:szCs w:val="22"/>
        </w:rPr>
        <w:t>s.</w:t>
      </w:r>
    </w:p>
    <w:p w14:paraId="1A254391" w14:textId="77777777" w:rsidR="00C4177A" w:rsidRPr="00E960C9" w:rsidRDefault="00C4177A" w:rsidP="00904117">
      <w:pPr>
        <w:spacing w:before="120" w:after="120"/>
        <w:jc w:val="both"/>
        <w:rPr>
          <w:rFonts w:eastAsia="Calibri"/>
          <w:sz w:val="22"/>
          <w:szCs w:val="22"/>
        </w:rPr>
      </w:pPr>
      <w:r w:rsidRPr="00E960C9">
        <w:rPr>
          <w:rFonts w:eastAsia="Calibri"/>
          <w:sz w:val="22"/>
          <w:szCs w:val="22"/>
        </w:rPr>
        <w:t>New Action Plan on Fight Against Torture for 2019-2020 includes four main directions that aim at strengthening legal, procedural and institutional mechanisms; enhancing measures for effective detection of acts of ill-treatment and prompt, impartial and effective investigation of all complaints; intensifying measures for protection, rehabilitation, and compensation for the victims of torture and ill-treatment; enhancing learning on ill-treatment and implementation of awareness-raising activities.</w:t>
      </w:r>
    </w:p>
    <w:p w14:paraId="229DE29A" w14:textId="2D181EA3" w:rsidR="00C4177A" w:rsidRPr="00E960C9" w:rsidRDefault="00C4177A" w:rsidP="00904117">
      <w:pPr>
        <w:spacing w:before="120" w:after="120"/>
        <w:jc w:val="both"/>
        <w:rPr>
          <w:rFonts w:eastAsia="Calibri"/>
          <w:sz w:val="22"/>
          <w:szCs w:val="22"/>
        </w:rPr>
      </w:pPr>
      <w:r w:rsidRPr="00E960C9">
        <w:rPr>
          <w:rFonts w:eastAsia="Calibri"/>
          <w:sz w:val="22"/>
          <w:szCs w:val="22"/>
        </w:rPr>
        <w:t>It is legitimate to state that torture and ill-treatment are eliminated at the closed establishments. This problem does not constitute an issue in the Georgian context as stated in ma</w:t>
      </w:r>
      <w:r w:rsidR="00A422CF" w:rsidRPr="00E960C9">
        <w:rPr>
          <w:rFonts w:eastAsia="Calibri"/>
          <w:sz w:val="22"/>
          <w:szCs w:val="22"/>
        </w:rPr>
        <w:t>n</w:t>
      </w:r>
      <w:r w:rsidRPr="00E960C9">
        <w:rPr>
          <w:rFonts w:eastAsia="Calibri"/>
          <w:sz w:val="22"/>
          <w:szCs w:val="22"/>
        </w:rPr>
        <w:t xml:space="preserve">y international reports (e.g. the report (dated December 1, 2015) on Georgia by Juan Mendez, Special Rapporteur on Torture, 2019 report of the European Committee for the Prevention of Torture and Inhuman or Degrading Treatment or Punishment (CPT)). </w:t>
      </w:r>
    </w:p>
    <w:p w14:paraId="39EFE0BA" w14:textId="548A9FA6" w:rsidR="009D3437" w:rsidRPr="00E960C9" w:rsidRDefault="00C4177A" w:rsidP="00904117">
      <w:pPr>
        <w:jc w:val="both"/>
        <w:rPr>
          <w:rFonts w:eastAsia="Calibri"/>
          <w:sz w:val="22"/>
          <w:szCs w:val="22"/>
        </w:rPr>
      </w:pPr>
      <w:r w:rsidRPr="00E960C9">
        <w:rPr>
          <w:rFonts w:eastAsia="Calibri"/>
          <w:sz w:val="22"/>
          <w:szCs w:val="22"/>
        </w:rPr>
        <w:t xml:space="preserve">As mentioned above, on November 1, 2019, institutionally independent investigative body, the State Inspector Service became operational. Its mandate covers the investigation of crimes related to torture, degrading or inhuman treatment, crimes of the abuse of power or exceeding official powers if committed using violence or a weapon or by offending personal dignity of a victim. </w:t>
      </w:r>
    </w:p>
    <w:p w14:paraId="3BC0138F" w14:textId="77777777" w:rsidR="00F34E5D" w:rsidRPr="00E960C9" w:rsidRDefault="00F34E5D" w:rsidP="00904117">
      <w:pPr>
        <w:jc w:val="both"/>
        <w:rPr>
          <w:rFonts w:eastAsia="Calibri"/>
          <w:sz w:val="22"/>
          <w:szCs w:val="22"/>
        </w:rPr>
      </w:pPr>
    </w:p>
    <w:p w14:paraId="26AF7BB9" w14:textId="21DE9330" w:rsidR="00151398"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13" w:name="_Toc51302040"/>
      <w:r w:rsidRPr="00E960C9">
        <w:rPr>
          <w:rFonts w:ascii="Times New Roman" w:eastAsia="Calibri" w:hAnsi="Times New Roman" w:cs="Times New Roman"/>
          <w:sz w:val="22"/>
          <w:szCs w:val="22"/>
        </w:rPr>
        <w:t>Reforms in</w:t>
      </w:r>
      <w:r w:rsidR="00320543" w:rsidRPr="00E960C9">
        <w:rPr>
          <w:rFonts w:ascii="Times New Roman" w:eastAsia="Calibri" w:hAnsi="Times New Roman" w:cs="Times New Roman"/>
          <w:sz w:val="22"/>
          <w:szCs w:val="22"/>
        </w:rPr>
        <w:t xml:space="preserve"> </w:t>
      </w:r>
      <w:r w:rsidR="007D7AB8" w:rsidRPr="00E960C9">
        <w:rPr>
          <w:rFonts w:ascii="Times New Roman" w:eastAsia="Calibri" w:hAnsi="Times New Roman" w:cs="Times New Roman"/>
          <w:sz w:val="22"/>
          <w:szCs w:val="22"/>
        </w:rPr>
        <w:t>the penitentiary system</w:t>
      </w:r>
      <w:bookmarkEnd w:id="13"/>
      <w:r w:rsidR="007D7AB8" w:rsidRPr="00E960C9">
        <w:rPr>
          <w:rFonts w:ascii="Times New Roman" w:eastAsia="Calibri" w:hAnsi="Times New Roman" w:cs="Times New Roman"/>
          <w:sz w:val="22"/>
          <w:szCs w:val="22"/>
        </w:rPr>
        <w:t xml:space="preserve"> </w:t>
      </w:r>
    </w:p>
    <w:p w14:paraId="3CA255B5"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Since 2018 the penitentiary and probation systems operate under the umbrella of the MOJ. In 2019 Strategy on Development of Penitentiary and Crime Prevention Systems and 2019-2020 Action Plan was approved. </w:t>
      </w:r>
    </w:p>
    <w:p w14:paraId="3ABECF0E"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The objectives of the MOJ reforms of the penitentiary and crime prevention systems are demilitarization of the systems and implementation of human rights-oriented approaches. </w:t>
      </w:r>
    </w:p>
    <w:p w14:paraId="451A1ECF" w14:textId="1CEB1269" w:rsidR="00B775FC" w:rsidRPr="00E960C9" w:rsidRDefault="00B775FC" w:rsidP="00904117">
      <w:pPr>
        <w:spacing w:before="120" w:after="120"/>
        <w:jc w:val="both"/>
        <w:rPr>
          <w:rFonts w:eastAsia="Calibri"/>
          <w:sz w:val="22"/>
          <w:szCs w:val="22"/>
        </w:rPr>
      </w:pPr>
      <w:r w:rsidRPr="00E960C9">
        <w:rPr>
          <w:rFonts w:eastAsia="Calibri"/>
          <w:sz w:val="22"/>
          <w:szCs w:val="22"/>
        </w:rPr>
        <w:t>To prevent torture and other cruel, inhuman or degrading treatment, in 2018 a Monitoring Department was created in the Special Penitentiary Service. The Department carries out systematic examination and monitoring of the human rights situation. In addition to the upgraded internal control mechanisms, the mandate of the PDO was also expanded</w:t>
      </w:r>
      <w:r w:rsidR="0048775D" w:rsidRPr="00E960C9">
        <w:rPr>
          <w:rFonts w:eastAsia="Calibri"/>
          <w:sz w:val="22"/>
          <w:szCs w:val="22"/>
        </w:rPr>
        <w:t>. Namely</w:t>
      </w:r>
      <w:r w:rsidRPr="00E960C9">
        <w:rPr>
          <w:rFonts w:eastAsia="Calibri"/>
          <w:sz w:val="22"/>
          <w:szCs w:val="22"/>
        </w:rPr>
        <w:t xml:space="preserve">, representatives of PDO and Special Preventive Group are entitled to take photos at penitentiary establishments. </w:t>
      </w:r>
    </w:p>
    <w:p w14:paraId="161CB30F"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Since 2016, rules on registration of injuries of accused/convicted persons caused by torture and other cruel, inhuman or degrading treatment is operational at penitentiary establishments. </w:t>
      </w:r>
    </w:p>
    <w:p w14:paraId="660E0157"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Since 2015, the maximum limits of inmates are defined to avoid overcrowding at penitentiary establishments. The standards are in full compliance with national and international regulations.  </w:t>
      </w:r>
    </w:p>
    <w:p w14:paraId="42565DF7" w14:textId="7888FD48"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In 2018, an independent structural unit Department for </w:t>
      </w:r>
      <w:r w:rsidR="00A422CF" w:rsidRPr="00E960C9">
        <w:rPr>
          <w:rFonts w:eastAsia="Calibri"/>
          <w:sz w:val="22"/>
          <w:szCs w:val="22"/>
        </w:rPr>
        <w:t>Resocialization</w:t>
      </w:r>
      <w:r w:rsidRPr="00E960C9">
        <w:rPr>
          <w:rFonts w:eastAsia="Calibri"/>
          <w:sz w:val="22"/>
          <w:szCs w:val="22"/>
        </w:rPr>
        <w:t xml:space="preserve"> and Rehabilitation of Convicted operated in the Special Penitentiary Service. Social workers and psychologists were at the Department. </w:t>
      </w:r>
    </w:p>
    <w:p w14:paraId="065FB423" w14:textId="4FD88E89" w:rsidR="00B775FC" w:rsidRPr="00DF3E41" w:rsidRDefault="00B775FC" w:rsidP="00DF3E41">
      <w:pPr>
        <w:rPr>
          <w:rFonts w:ascii="Helvetica Neue" w:hAnsi="Helvetica Neue"/>
          <w:color w:val="333333"/>
          <w:shd w:val="clear" w:color="auto" w:fill="EAEAEA"/>
        </w:rPr>
      </w:pPr>
      <w:r w:rsidRPr="00E960C9">
        <w:rPr>
          <w:rFonts w:eastAsia="Calibri"/>
          <w:sz w:val="22"/>
          <w:szCs w:val="22"/>
        </w:rPr>
        <w:t xml:space="preserve">Within the framework of resocialization and rehabilitation </w:t>
      </w:r>
      <w:r w:rsidR="000D5D77" w:rsidRPr="00E960C9">
        <w:rPr>
          <w:rFonts w:eastAsia="Calibri"/>
          <w:sz w:val="22"/>
          <w:szCs w:val="22"/>
        </w:rPr>
        <w:t>Programme</w:t>
      </w:r>
      <w:r w:rsidRPr="00E960C9">
        <w:rPr>
          <w:rFonts w:eastAsia="Calibri"/>
          <w:sz w:val="22"/>
          <w:szCs w:val="22"/>
        </w:rPr>
        <w:t xml:space="preserve">s, the systems and infrastructure for employment, vocational training, education and relaxation for convicted is under development. In January 2020, </w:t>
      </w:r>
      <w:r w:rsidR="00F603BD" w:rsidRPr="00E960C9">
        <w:rPr>
          <w:rFonts w:eastAsia="Calibri"/>
          <w:sz w:val="22"/>
          <w:szCs w:val="22"/>
        </w:rPr>
        <w:t xml:space="preserve">a </w:t>
      </w:r>
      <w:r w:rsidR="006202BA" w:rsidRPr="00DF3E41">
        <w:rPr>
          <w:rFonts w:eastAsia="Calibri"/>
          <w:sz w:val="22"/>
          <w:szCs w:val="22"/>
        </w:rPr>
        <w:t>Vocational Education and Training Centre for Inmates</w:t>
      </w:r>
      <w:r w:rsidR="00F603BD" w:rsidRPr="00E960C9">
        <w:rPr>
          <w:rFonts w:eastAsia="Calibri"/>
          <w:sz w:val="22"/>
          <w:szCs w:val="22"/>
        </w:rPr>
        <w:t xml:space="preserve"> was created</w:t>
      </w:r>
      <w:r w:rsidRPr="00E960C9">
        <w:rPr>
          <w:rFonts w:eastAsia="Calibri"/>
          <w:sz w:val="22"/>
          <w:szCs w:val="22"/>
        </w:rPr>
        <w:t>. Cooperation with employers is ongoing to create production zones at penitentiary establishments.</w:t>
      </w:r>
    </w:p>
    <w:p w14:paraId="208E494E"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In 2019 the following concept papers were prepared: A concept paper on encouragement of convicted at the penitentiary establishments and prevention of violence against inmates; this document aims to encourage constructive behaviour among inmates through granting and deprivation of privileges. Concept </w:t>
      </w:r>
      <w:r w:rsidRPr="00E960C9">
        <w:rPr>
          <w:rFonts w:eastAsia="Calibri"/>
          <w:sz w:val="22"/>
          <w:szCs w:val="22"/>
        </w:rPr>
        <w:lastRenderedPageBreak/>
        <w:t xml:space="preserve">paper on decreasing the influence of organized crime in penitentiary establishments. Concept paper on the preparation of inmates for release. Concept paper on the development of parole mechanism. </w:t>
      </w:r>
    </w:p>
    <w:p w14:paraId="0D9EFDB8"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Besides, the MOJ is actively working on the creation of the Multi-Agency Public Protection Arrangement (MAPPA).</w:t>
      </w:r>
    </w:p>
    <w:p w14:paraId="27784127" w14:textId="77777777" w:rsidR="00B775FC" w:rsidRPr="00E960C9" w:rsidRDefault="00B775FC" w:rsidP="00904117">
      <w:pPr>
        <w:spacing w:before="120" w:after="120"/>
        <w:jc w:val="both"/>
        <w:rPr>
          <w:rFonts w:eastAsia="Calibri"/>
          <w:sz w:val="22"/>
          <w:szCs w:val="22"/>
        </w:rPr>
      </w:pPr>
      <w:r w:rsidRPr="00E960C9">
        <w:rPr>
          <w:rFonts w:eastAsia="Calibri"/>
          <w:sz w:val="22"/>
          <w:szCs w:val="22"/>
        </w:rPr>
        <w:t xml:space="preserve">Hepatitis B and C, HIV/AIDS, syphilis and TB screening and tests are available at all penitentiary establishments. The necessary tests and materials are provided.  </w:t>
      </w:r>
    </w:p>
    <w:p w14:paraId="5D99652A" w14:textId="72DB9E8D" w:rsidR="00671226" w:rsidRPr="00E960C9" w:rsidRDefault="00B775FC" w:rsidP="00904117">
      <w:pPr>
        <w:spacing w:before="120" w:after="120"/>
        <w:jc w:val="both"/>
        <w:rPr>
          <w:rFonts w:eastAsia="Calibri"/>
          <w:sz w:val="22"/>
          <w:szCs w:val="22"/>
        </w:rPr>
      </w:pPr>
      <w:r w:rsidRPr="00E960C9">
        <w:rPr>
          <w:rFonts w:eastAsia="Calibri"/>
          <w:sz w:val="22"/>
          <w:szCs w:val="22"/>
        </w:rPr>
        <w:t xml:space="preserve">The 2017 legislative amendments upgraded and improved the parole mechanism; in 2018, 904 inmates were early released and in 2019 – 1522. According to the 2017 amendments, a convicted woman, whose child above the age of three left a special facility for women, </w:t>
      </w:r>
      <w:proofErr w:type="gramStart"/>
      <w:r w:rsidRPr="00E960C9">
        <w:rPr>
          <w:rFonts w:eastAsia="Calibri"/>
          <w:sz w:val="22"/>
          <w:szCs w:val="22"/>
        </w:rPr>
        <w:t>may</w:t>
      </w:r>
      <w:proofErr w:type="gramEnd"/>
      <w:r w:rsidRPr="00E960C9">
        <w:rPr>
          <w:rFonts w:eastAsia="Calibri"/>
          <w:sz w:val="22"/>
          <w:szCs w:val="22"/>
        </w:rPr>
        <w:t>, during a year after the child has left the facility, leave the facility on rest days and public holidays provided for by the legislation of Georgia. In 2018, a new form of sanction – house arrest became operational; its use increases (in 2018 and 2019, there were 67 and 194 cases respectively).</w:t>
      </w:r>
    </w:p>
    <w:p w14:paraId="61BDA0A8" w14:textId="0A16425D" w:rsidR="00671226" w:rsidRPr="00E960C9" w:rsidRDefault="008F7985" w:rsidP="00D62FC3">
      <w:pPr>
        <w:pStyle w:val="Heading2"/>
        <w:numPr>
          <w:ilvl w:val="0"/>
          <w:numId w:val="16"/>
        </w:numPr>
        <w:spacing w:before="120" w:after="120"/>
        <w:jc w:val="both"/>
        <w:rPr>
          <w:rFonts w:ascii="Times New Roman" w:hAnsi="Times New Roman" w:cs="Times New Roman"/>
          <w:sz w:val="22"/>
          <w:szCs w:val="22"/>
        </w:rPr>
      </w:pPr>
      <w:bookmarkStart w:id="14" w:name="_Toc51302041"/>
      <w:r w:rsidRPr="00E960C9">
        <w:rPr>
          <w:rFonts w:ascii="Times New Roman" w:eastAsia="Calibri" w:hAnsi="Times New Roman" w:cs="Times New Roman"/>
          <w:sz w:val="22"/>
          <w:szCs w:val="22"/>
        </w:rPr>
        <w:t xml:space="preserve">State </w:t>
      </w:r>
      <w:r w:rsidR="007D7AB8" w:rsidRPr="00E960C9">
        <w:rPr>
          <w:rFonts w:ascii="Times New Roman" w:eastAsia="Calibri" w:hAnsi="Times New Roman" w:cs="Times New Roman"/>
          <w:sz w:val="22"/>
          <w:szCs w:val="22"/>
        </w:rPr>
        <w:t>policy on fights against trafficking in human beings</w:t>
      </w:r>
      <w:bookmarkEnd w:id="14"/>
      <w:r w:rsidR="007D7AB8" w:rsidRPr="00E960C9">
        <w:rPr>
          <w:rFonts w:ascii="Times New Roman" w:eastAsia="Calibri" w:hAnsi="Times New Roman" w:cs="Times New Roman"/>
          <w:sz w:val="22"/>
          <w:szCs w:val="22"/>
        </w:rPr>
        <w:t xml:space="preserve"> </w:t>
      </w:r>
    </w:p>
    <w:p w14:paraId="252E9D25" w14:textId="2DC9A456"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The State policy on the fight against trafficking in human beings is based on so-called 4P principle (Prevention, Protection, Prosecution, </w:t>
      </w:r>
      <w:proofErr w:type="gramStart"/>
      <w:r w:rsidRPr="00E960C9">
        <w:rPr>
          <w:rFonts w:eastAsia="Calibri"/>
          <w:sz w:val="22"/>
          <w:szCs w:val="22"/>
        </w:rPr>
        <w:t>Partnership</w:t>
      </w:r>
      <w:proofErr w:type="gramEnd"/>
      <w:r w:rsidRPr="00E960C9">
        <w:rPr>
          <w:rFonts w:eastAsia="Calibri"/>
          <w:sz w:val="22"/>
          <w:szCs w:val="22"/>
        </w:rPr>
        <w:t>)</w:t>
      </w:r>
      <w:r w:rsidR="0048775D" w:rsidRPr="00E960C9">
        <w:rPr>
          <w:rFonts w:eastAsia="Calibri"/>
          <w:sz w:val="22"/>
          <w:szCs w:val="22"/>
        </w:rPr>
        <w:t xml:space="preserve">. It </w:t>
      </w:r>
      <w:r w:rsidRPr="00E960C9">
        <w:rPr>
          <w:rFonts w:eastAsia="Calibri"/>
          <w:sz w:val="22"/>
          <w:szCs w:val="22"/>
        </w:rPr>
        <w:t xml:space="preserve">aims to prevent and proactively investigate crimes, strengthen criminal prosecution and cooperation measures. </w:t>
      </w:r>
    </w:p>
    <w:p w14:paraId="084F62D2" w14:textId="77777777"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Since 2006, the Inter-Agency Coordination Council for Implementation of Measures against Trafficking in Human Beings chaired by the Minister of Justice has been operational. It developed 2007-2008, 2009-2010, 2011-2012, 2013-2014, 2015-2016, 2017-2018 and 2019-2020 Action Plans. </w:t>
      </w:r>
    </w:p>
    <w:p w14:paraId="688EC59D" w14:textId="333260DD"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The 2018 legislative amendments introduced a new crime </w:t>
      </w:r>
      <w:r w:rsidR="00A422CF" w:rsidRPr="00E960C9">
        <w:rPr>
          <w:rFonts w:eastAsia="Calibri"/>
          <w:sz w:val="22"/>
          <w:szCs w:val="22"/>
        </w:rPr>
        <w:t>- inducing</w:t>
      </w:r>
      <w:r w:rsidRPr="00E960C9">
        <w:rPr>
          <w:rFonts w:eastAsia="Calibri"/>
          <w:sz w:val="22"/>
          <w:szCs w:val="22"/>
        </w:rPr>
        <w:t xml:space="preserve"> a person to prostitution and/or conducting any such other nonviolent act that promotes the involvement of a person in prostitution.</w:t>
      </w:r>
    </w:p>
    <w:p w14:paraId="48400222" w14:textId="39B12B43" w:rsidR="00CD1935" w:rsidRPr="00E960C9" w:rsidRDefault="00CD1935" w:rsidP="00904117">
      <w:pPr>
        <w:spacing w:before="120" w:after="120"/>
        <w:jc w:val="both"/>
        <w:rPr>
          <w:rFonts w:eastAsia="Calibri"/>
          <w:sz w:val="22"/>
          <w:szCs w:val="22"/>
        </w:rPr>
      </w:pPr>
      <w:r w:rsidRPr="00E960C9">
        <w:rPr>
          <w:rFonts w:eastAsia="Calibri"/>
          <w:sz w:val="22"/>
          <w:szCs w:val="22"/>
        </w:rPr>
        <w:t>Since 2013</w:t>
      </w:r>
      <w:r w:rsidR="008077A0">
        <w:rPr>
          <w:rFonts w:eastAsia="Calibri"/>
          <w:sz w:val="22"/>
          <w:szCs w:val="22"/>
        </w:rPr>
        <w:t>,</w:t>
      </w:r>
      <w:r w:rsidRPr="00E960C9">
        <w:rPr>
          <w:rFonts w:eastAsia="Calibri"/>
          <w:sz w:val="22"/>
          <w:szCs w:val="22"/>
        </w:rPr>
        <w:t xml:space="preserve"> 4 special mobile groups are operational at the MIA. The purpose of these groups is to proactively expose the cases of trafficking in human beings and punish the perpetrators. The number of groups increased up to 6 in 2019. Since 2014, a Task Force consisting of specialized prosecutors and investigators is operational in Adjara. Its primary objective is to identify the places with increased risk of trafficking in human beings (bars, clubs, saunas, etc.) on the whole territory of the country and investigate the crimes. Since 2016, the number of criminal initiated criminal prosecutions increased 5-times. </w:t>
      </w:r>
    </w:p>
    <w:p w14:paraId="5A9EB3FB" w14:textId="77777777"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In 2019, groups of specialized investigators were created in the territorial units of Tbilisi Police Department that investigate sexual abuse against juveniles. </w:t>
      </w:r>
    </w:p>
    <w:p w14:paraId="156B9807" w14:textId="2BB2495D"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The </w:t>
      </w:r>
      <w:r w:rsidR="0048775D" w:rsidRPr="00E960C9">
        <w:rPr>
          <w:rFonts w:eastAsia="Calibri"/>
          <w:sz w:val="22"/>
          <w:szCs w:val="22"/>
        </w:rPr>
        <w:t xml:space="preserve">MIA </w:t>
      </w:r>
      <w:r w:rsidRPr="00E960C9">
        <w:rPr>
          <w:rFonts w:eastAsia="Calibri"/>
          <w:sz w:val="22"/>
          <w:szCs w:val="22"/>
        </w:rPr>
        <w:t>Human Rights Protection and Investigation Quality Monitoring Department monitors the quality of the investigation process of crimes related to trafficking in human beings.</w:t>
      </w:r>
    </w:p>
    <w:p w14:paraId="5BB3F0F9" w14:textId="2CC26346" w:rsidR="00CD1935" w:rsidRPr="00E960C9" w:rsidRDefault="0048775D" w:rsidP="00904117">
      <w:pPr>
        <w:spacing w:before="120" w:after="120"/>
        <w:jc w:val="both"/>
        <w:rPr>
          <w:rFonts w:eastAsia="Calibri"/>
          <w:sz w:val="22"/>
          <w:szCs w:val="22"/>
        </w:rPr>
      </w:pPr>
      <w:r w:rsidRPr="00E960C9">
        <w:rPr>
          <w:rFonts w:eastAsia="Calibri"/>
          <w:sz w:val="22"/>
          <w:szCs w:val="22"/>
        </w:rPr>
        <w:t>According to the 2016 Trafficking in Persons Report of the USA, Georgia is in Tier 1 of the leading countries together with some EU Member States. Georgia maintains the same position in 21</w:t>
      </w:r>
      <w:r w:rsidR="00BD1456">
        <w:rPr>
          <w:rFonts w:eastAsia="Calibri"/>
          <w:sz w:val="22"/>
          <w:szCs w:val="22"/>
        </w:rPr>
        <w:t>0</w:t>
      </w:r>
      <w:r w:rsidRPr="00E960C9">
        <w:rPr>
          <w:rFonts w:eastAsia="Calibri"/>
          <w:sz w:val="22"/>
          <w:szCs w:val="22"/>
        </w:rPr>
        <w:t xml:space="preserve">7, 2018 and 2019.  </w:t>
      </w:r>
    </w:p>
    <w:p w14:paraId="213075A6" w14:textId="77777777" w:rsidR="00CD1935" w:rsidRPr="00E960C9" w:rsidRDefault="00CD1935" w:rsidP="00904117">
      <w:pPr>
        <w:spacing w:before="120" w:after="120"/>
        <w:jc w:val="both"/>
        <w:rPr>
          <w:rFonts w:eastAsia="Calibri"/>
          <w:sz w:val="22"/>
          <w:szCs w:val="22"/>
        </w:rPr>
      </w:pPr>
      <w:r w:rsidRPr="00E960C9">
        <w:rPr>
          <w:rFonts w:eastAsia="Calibri"/>
          <w:sz w:val="22"/>
          <w:szCs w:val="22"/>
        </w:rPr>
        <w:t>According to the 2018 Global Slavery Index Report, Georgia was promoted to the 15th position among 167 countries (in 2016, Georgia was on the 17th position) for implemented effective State response against trafficking and modern slavery.</w:t>
      </w:r>
    </w:p>
    <w:p w14:paraId="5B1E1813" w14:textId="5877E6FF"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Georgia positioned on the 18th place among 183 states in the 2019 report Measurement, Action, Freedom prepared by an international </w:t>
      </w:r>
      <w:r w:rsidR="00C0157F" w:rsidRPr="00E960C9">
        <w:rPr>
          <w:rFonts w:eastAsia="Calibri"/>
          <w:sz w:val="22"/>
          <w:szCs w:val="22"/>
        </w:rPr>
        <w:t>organisation</w:t>
      </w:r>
      <w:r w:rsidRPr="00E960C9">
        <w:rPr>
          <w:rFonts w:eastAsia="Calibri"/>
          <w:sz w:val="22"/>
          <w:szCs w:val="22"/>
        </w:rPr>
        <w:t xml:space="preserve"> Walk Free Foundation. The latter annually prepares Global Slavery index. </w:t>
      </w:r>
    </w:p>
    <w:p w14:paraId="2C8E88A4" w14:textId="2AD09D82" w:rsidR="00CD1935" w:rsidRPr="00E960C9" w:rsidRDefault="00CD1935" w:rsidP="00904117">
      <w:pPr>
        <w:spacing w:before="120" w:after="120"/>
        <w:jc w:val="both"/>
        <w:rPr>
          <w:rFonts w:eastAsia="Calibri"/>
          <w:sz w:val="22"/>
          <w:szCs w:val="22"/>
        </w:rPr>
      </w:pPr>
      <w:r w:rsidRPr="00E960C9">
        <w:rPr>
          <w:rFonts w:eastAsia="Calibri"/>
          <w:sz w:val="22"/>
          <w:szCs w:val="22"/>
        </w:rPr>
        <w:t xml:space="preserve">Protection of and support to the victims of the trafficking is a high priority. </w:t>
      </w:r>
      <w:r w:rsidR="00A422CF" w:rsidRPr="00E960C9">
        <w:rPr>
          <w:rFonts w:eastAsia="Calibri"/>
          <w:sz w:val="22"/>
          <w:szCs w:val="22"/>
        </w:rPr>
        <w:t>The</w:t>
      </w:r>
      <w:r w:rsidRPr="00E960C9">
        <w:rPr>
          <w:rFonts w:eastAsia="Calibri"/>
          <w:sz w:val="22"/>
          <w:szCs w:val="22"/>
        </w:rPr>
        <w:t xml:space="preserve"> victim of trafficking may use different state services (psychological and medical support, legal aid, compensation in the amount of 1</w:t>
      </w:r>
      <w:r w:rsidR="00DD1855" w:rsidRPr="00E960C9">
        <w:rPr>
          <w:rFonts w:eastAsia="Calibri"/>
          <w:sz w:val="22"/>
          <w:szCs w:val="22"/>
        </w:rPr>
        <w:t>,</w:t>
      </w:r>
      <w:r w:rsidRPr="00E960C9">
        <w:rPr>
          <w:rFonts w:eastAsia="Calibri"/>
          <w:sz w:val="22"/>
          <w:szCs w:val="22"/>
        </w:rPr>
        <w:t xml:space="preserve">000 GEL, shelter in Tbilisi and Batumi and support in social reintegration). Alleged victims of trafficking (before the status is granted) also have access to the crisis centres. </w:t>
      </w:r>
    </w:p>
    <w:p w14:paraId="7980E7BF" w14:textId="4F989041" w:rsidR="009A4D38" w:rsidRPr="00E960C9" w:rsidRDefault="00CD1935" w:rsidP="00904117">
      <w:pPr>
        <w:spacing w:before="120" w:after="120"/>
        <w:jc w:val="both"/>
        <w:rPr>
          <w:rFonts w:eastAsia="Calibri"/>
          <w:sz w:val="22"/>
          <w:szCs w:val="22"/>
        </w:rPr>
      </w:pPr>
      <w:r w:rsidRPr="00E960C9">
        <w:rPr>
          <w:rFonts w:eastAsia="Calibri"/>
          <w:sz w:val="22"/>
          <w:szCs w:val="22"/>
        </w:rPr>
        <w:lastRenderedPageBreak/>
        <w:t xml:space="preserve">Awareness-raising activities concerning prevention of trafficking are also implemented. The trafficking is the part of the curriculum at secondary schools and higher education institutions. </w:t>
      </w:r>
    </w:p>
    <w:p w14:paraId="50D24FCC" w14:textId="37C5063B" w:rsidR="00E50DF1" w:rsidRPr="00E960C9" w:rsidRDefault="008F7985" w:rsidP="00D62FC3">
      <w:pPr>
        <w:pStyle w:val="Heading2"/>
        <w:numPr>
          <w:ilvl w:val="0"/>
          <w:numId w:val="16"/>
        </w:numPr>
        <w:spacing w:before="120" w:after="120"/>
        <w:jc w:val="both"/>
        <w:rPr>
          <w:rFonts w:ascii="Times New Roman" w:eastAsia="Calibri" w:hAnsi="Times New Roman" w:cs="Times New Roman"/>
          <w:sz w:val="22"/>
          <w:szCs w:val="22"/>
        </w:rPr>
      </w:pPr>
      <w:bookmarkStart w:id="15" w:name="_Toc51302042"/>
      <w:r w:rsidRPr="00E960C9">
        <w:rPr>
          <w:rFonts w:ascii="Times New Roman" w:eastAsia="Calibri" w:hAnsi="Times New Roman" w:cs="Times New Roman"/>
          <w:sz w:val="22"/>
          <w:szCs w:val="22"/>
        </w:rPr>
        <w:t xml:space="preserve">Right to </w:t>
      </w:r>
      <w:r w:rsidR="007D7AB8" w:rsidRPr="00E960C9">
        <w:rPr>
          <w:rFonts w:ascii="Times New Roman" w:eastAsia="Calibri" w:hAnsi="Times New Roman" w:cs="Times New Roman"/>
          <w:sz w:val="22"/>
          <w:szCs w:val="22"/>
        </w:rPr>
        <w:t>privacy and personal data protection</w:t>
      </w:r>
      <w:bookmarkEnd w:id="15"/>
    </w:p>
    <w:p w14:paraId="00701BD2" w14:textId="78155501" w:rsidR="00EE2223" w:rsidRPr="00DF3E41" w:rsidRDefault="00E90EF0" w:rsidP="00904117">
      <w:pPr>
        <w:spacing w:before="120" w:after="120"/>
        <w:jc w:val="both"/>
        <w:rPr>
          <w:rFonts w:eastAsia="Calibri"/>
          <w:sz w:val="22"/>
          <w:szCs w:val="22"/>
          <w:highlight w:val="yellow"/>
        </w:rPr>
      </w:pPr>
      <w:r w:rsidRPr="00E960C9">
        <w:rPr>
          <w:rFonts w:eastAsia="Calibri"/>
          <w:sz w:val="22"/>
          <w:szCs w:val="22"/>
        </w:rPr>
        <w:t xml:space="preserve">Control of legality of personal data processing is one of the primary objectives of the SIS, the successor of the Office of the Personal Data Inspector. Since 2015, the Office of the Inspector is entitled to oversee covert investigative actions. Information on covert investigative actions should be submitted to the Inspector. The Office of the Inspector may conduct inspections of </w:t>
      </w:r>
      <w:r w:rsidR="00C0157F" w:rsidRPr="00E960C9">
        <w:rPr>
          <w:rFonts w:eastAsia="Calibri"/>
          <w:sz w:val="22"/>
          <w:szCs w:val="22"/>
        </w:rPr>
        <w:t>organisation</w:t>
      </w:r>
      <w:r w:rsidRPr="00E960C9">
        <w:rPr>
          <w:rFonts w:eastAsia="Calibri"/>
          <w:sz w:val="22"/>
          <w:szCs w:val="22"/>
        </w:rPr>
        <w:t xml:space="preserve">s based on the citizen’s applications and its own decision. Information on alleged violations may be communicated to the Office via a 24-hour hotline. </w:t>
      </w:r>
      <w:bookmarkStart w:id="16" w:name="_GoBack"/>
      <w:bookmarkEnd w:id="16"/>
    </w:p>
    <w:tbl>
      <w:tblPr>
        <w:tblStyle w:val="TableGrid"/>
        <w:tblW w:w="0" w:type="auto"/>
        <w:tblLook w:val="04A0" w:firstRow="1" w:lastRow="0" w:firstColumn="1" w:lastColumn="0" w:noHBand="0" w:noVBand="1"/>
      </w:tblPr>
      <w:tblGrid>
        <w:gridCol w:w="1870"/>
        <w:gridCol w:w="1870"/>
        <w:gridCol w:w="3059"/>
      </w:tblGrid>
      <w:tr w:rsidR="00F83BEE" w:rsidRPr="00DF3E41" w14:paraId="57A4DEDC" w14:textId="77777777" w:rsidTr="00F83BEE">
        <w:tc>
          <w:tcPr>
            <w:tcW w:w="1870" w:type="dxa"/>
          </w:tcPr>
          <w:p w14:paraId="522BEA5C" w14:textId="275571F0"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 xml:space="preserve">Year </w:t>
            </w:r>
          </w:p>
        </w:tc>
        <w:tc>
          <w:tcPr>
            <w:tcW w:w="1870" w:type="dxa"/>
          </w:tcPr>
          <w:p w14:paraId="79CAA76E" w14:textId="5FD18FFE"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 of Inspections</w:t>
            </w:r>
          </w:p>
        </w:tc>
        <w:tc>
          <w:tcPr>
            <w:tcW w:w="3059" w:type="dxa"/>
          </w:tcPr>
          <w:p w14:paraId="6E862942" w14:textId="191C26E6"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 xml:space="preserve"># of violations identified during inspections </w:t>
            </w:r>
          </w:p>
        </w:tc>
      </w:tr>
      <w:tr w:rsidR="00F83BEE" w:rsidRPr="00DF3E41" w14:paraId="4C6E5F11" w14:textId="77777777" w:rsidTr="00F83BEE">
        <w:tc>
          <w:tcPr>
            <w:tcW w:w="1870" w:type="dxa"/>
          </w:tcPr>
          <w:p w14:paraId="106F3B41" w14:textId="0EE2A3A3"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2015</w:t>
            </w:r>
          </w:p>
        </w:tc>
        <w:tc>
          <w:tcPr>
            <w:tcW w:w="1870" w:type="dxa"/>
          </w:tcPr>
          <w:p w14:paraId="1640F658" w14:textId="6C707FD8" w:rsidR="00F83BEE" w:rsidRPr="00DF3E41" w:rsidRDefault="00F83BEE" w:rsidP="00904117">
            <w:pPr>
              <w:jc w:val="both"/>
              <w:rPr>
                <w:rFonts w:eastAsia="Calibri"/>
                <w:sz w:val="22"/>
                <w:szCs w:val="22"/>
                <w:highlight w:val="yellow"/>
              </w:rPr>
            </w:pPr>
            <w:r w:rsidRPr="00DF3E41">
              <w:rPr>
                <w:rFonts w:eastAsia="Calibri"/>
                <w:sz w:val="22"/>
                <w:szCs w:val="22"/>
                <w:highlight w:val="yellow"/>
              </w:rPr>
              <w:t>54</w:t>
            </w:r>
          </w:p>
        </w:tc>
        <w:tc>
          <w:tcPr>
            <w:tcW w:w="3059" w:type="dxa"/>
          </w:tcPr>
          <w:p w14:paraId="55375D9E" w14:textId="341D46B8" w:rsidR="00F83BEE" w:rsidRPr="00DF3E41" w:rsidRDefault="00F83BEE" w:rsidP="00904117">
            <w:pPr>
              <w:jc w:val="both"/>
              <w:rPr>
                <w:rFonts w:eastAsia="Calibri"/>
                <w:sz w:val="22"/>
                <w:szCs w:val="22"/>
                <w:highlight w:val="yellow"/>
              </w:rPr>
            </w:pPr>
            <w:r w:rsidRPr="00DF3E41">
              <w:rPr>
                <w:rFonts w:eastAsia="Calibri"/>
                <w:sz w:val="22"/>
                <w:szCs w:val="22"/>
                <w:highlight w:val="yellow"/>
              </w:rPr>
              <w:t>65</w:t>
            </w:r>
          </w:p>
        </w:tc>
      </w:tr>
      <w:tr w:rsidR="00F83BEE" w:rsidRPr="00DF3E41" w14:paraId="0B2F631A" w14:textId="77777777" w:rsidTr="00F83BEE">
        <w:tc>
          <w:tcPr>
            <w:tcW w:w="1870" w:type="dxa"/>
          </w:tcPr>
          <w:p w14:paraId="4141ED83" w14:textId="2910276C"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2016</w:t>
            </w:r>
          </w:p>
        </w:tc>
        <w:tc>
          <w:tcPr>
            <w:tcW w:w="1870" w:type="dxa"/>
          </w:tcPr>
          <w:p w14:paraId="1941885E" w14:textId="26D9B4DF" w:rsidR="00F83BEE" w:rsidRPr="00DF3E41" w:rsidRDefault="00F83BEE" w:rsidP="00904117">
            <w:pPr>
              <w:jc w:val="both"/>
              <w:rPr>
                <w:rFonts w:eastAsia="Calibri"/>
                <w:sz w:val="22"/>
                <w:szCs w:val="22"/>
                <w:highlight w:val="yellow"/>
              </w:rPr>
            </w:pPr>
          </w:p>
        </w:tc>
        <w:tc>
          <w:tcPr>
            <w:tcW w:w="3059" w:type="dxa"/>
          </w:tcPr>
          <w:p w14:paraId="02194675" w14:textId="183E04D0" w:rsidR="00F83BEE" w:rsidRPr="00DF3E41" w:rsidRDefault="00F83BEE" w:rsidP="00904117">
            <w:pPr>
              <w:jc w:val="both"/>
              <w:rPr>
                <w:rFonts w:eastAsia="Calibri"/>
                <w:sz w:val="22"/>
                <w:szCs w:val="22"/>
                <w:highlight w:val="yellow"/>
              </w:rPr>
            </w:pPr>
            <w:r w:rsidRPr="00DF3E41">
              <w:rPr>
                <w:rFonts w:eastAsia="Calibri"/>
                <w:sz w:val="22"/>
                <w:szCs w:val="22"/>
                <w:highlight w:val="yellow"/>
              </w:rPr>
              <w:t>221</w:t>
            </w:r>
          </w:p>
        </w:tc>
      </w:tr>
      <w:tr w:rsidR="00F83BEE" w:rsidRPr="00DF3E41" w14:paraId="76BB4E49" w14:textId="77777777" w:rsidTr="00F83BEE">
        <w:tc>
          <w:tcPr>
            <w:tcW w:w="1870" w:type="dxa"/>
          </w:tcPr>
          <w:p w14:paraId="33F98B47" w14:textId="4B1403F3"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2017</w:t>
            </w:r>
          </w:p>
        </w:tc>
        <w:tc>
          <w:tcPr>
            <w:tcW w:w="1870" w:type="dxa"/>
          </w:tcPr>
          <w:p w14:paraId="0760EA6E" w14:textId="3F6AF6D8" w:rsidR="00F83BEE" w:rsidRPr="00DF3E41" w:rsidRDefault="00F83BEE" w:rsidP="00904117">
            <w:pPr>
              <w:jc w:val="both"/>
              <w:rPr>
                <w:rFonts w:eastAsia="Calibri"/>
                <w:sz w:val="22"/>
                <w:szCs w:val="22"/>
                <w:highlight w:val="yellow"/>
              </w:rPr>
            </w:pPr>
            <w:r w:rsidRPr="00DF3E41">
              <w:rPr>
                <w:rFonts w:eastAsia="Calibri"/>
                <w:sz w:val="22"/>
                <w:szCs w:val="22"/>
                <w:highlight w:val="yellow"/>
              </w:rPr>
              <w:t>114</w:t>
            </w:r>
          </w:p>
        </w:tc>
        <w:tc>
          <w:tcPr>
            <w:tcW w:w="3059" w:type="dxa"/>
          </w:tcPr>
          <w:p w14:paraId="2C0E23F3" w14:textId="5373FC6C" w:rsidR="00F83BEE" w:rsidRPr="00DF3E41" w:rsidRDefault="00F83BEE" w:rsidP="00904117">
            <w:pPr>
              <w:jc w:val="both"/>
              <w:rPr>
                <w:rFonts w:eastAsia="Calibri"/>
                <w:sz w:val="22"/>
                <w:szCs w:val="22"/>
                <w:highlight w:val="yellow"/>
              </w:rPr>
            </w:pPr>
            <w:r w:rsidRPr="00DF3E41">
              <w:rPr>
                <w:rFonts w:eastAsia="Calibri"/>
                <w:sz w:val="22"/>
                <w:szCs w:val="22"/>
                <w:highlight w:val="yellow"/>
              </w:rPr>
              <w:t>274</w:t>
            </w:r>
          </w:p>
        </w:tc>
      </w:tr>
      <w:tr w:rsidR="00F83BEE" w:rsidRPr="00DF3E41" w14:paraId="124C0A29" w14:textId="77777777" w:rsidTr="00F83BEE">
        <w:tc>
          <w:tcPr>
            <w:tcW w:w="1870" w:type="dxa"/>
          </w:tcPr>
          <w:p w14:paraId="0AB74CB8" w14:textId="41C6CDE1" w:rsidR="00F83BEE" w:rsidRPr="00DF3E41" w:rsidRDefault="00F83BEE" w:rsidP="00904117">
            <w:pPr>
              <w:jc w:val="both"/>
              <w:rPr>
                <w:rFonts w:eastAsia="Calibri"/>
                <w:b/>
                <w:bCs/>
                <w:sz w:val="22"/>
                <w:szCs w:val="22"/>
                <w:highlight w:val="yellow"/>
              </w:rPr>
            </w:pPr>
            <w:r w:rsidRPr="00DF3E41">
              <w:rPr>
                <w:rFonts w:eastAsia="Calibri"/>
                <w:b/>
                <w:bCs/>
                <w:sz w:val="22"/>
                <w:szCs w:val="22"/>
                <w:highlight w:val="yellow"/>
              </w:rPr>
              <w:t>2017</w:t>
            </w:r>
          </w:p>
        </w:tc>
        <w:tc>
          <w:tcPr>
            <w:tcW w:w="1870" w:type="dxa"/>
          </w:tcPr>
          <w:p w14:paraId="3506EE9C" w14:textId="058C8527" w:rsidR="00F83BEE" w:rsidRPr="00DF3E41" w:rsidRDefault="00F83BEE" w:rsidP="00904117">
            <w:pPr>
              <w:jc w:val="both"/>
              <w:rPr>
                <w:rFonts w:eastAsia="Calibri"/>
                <w:sz w:val="22"/>
                <w:szCs w:val="22"/>
                <w:highlight w:val="yellow"/>
              </w:rPr>
            </w:pPr>
            <w:r w:rsidRPr="00DF3E41">
              <w:rPr>
                <w:rFonts w:eastAsia="Calibri"/>
                <w:sz w:val="22"/>
                <w:szCs w:val="22"/>
                <w:highlight w:val="yellow"/>
              </w:rPr>
              <w:t>148</w:t>
            </w:r>
          </w:p>
        </w:tc>
        <w:tc>
          <w:tcPr>
            <w:tcW w:w="3059" w:type="dxa"/>
          </w:tcPr>
          <w:p w14:paraId="65FCA040" w14:textId="7FED382F" w:rsidR="00F83BEE" w:rsidRPr="00DF3E41" w:rsidRDefault="00F83BEE" w:rsidP="00904117">
            <w:pPr>
              <w:jc w:val="both"/>
              <w:rPr>
                <w:rFonts w:eastAsia="Calibri"/>
                <w:sz w:val="22"/>
                <w:szCs w:val="22"/>
                <w:highlight w:val="yellow"/>
              </w:rPr>
            </w:pPr>
            <w:r w:rsidRPr="00DF3E41">
              <w:rPr>
                <w:rFonts w:eastAsia="Calibri"/>
                <w:sz w:val="22"/>
                <w:szCs w:val="22"/>
                <w:highlight w:val="yellow"/>
              </w:rPr>
              <w:t>266</w:t>
            </w:r>
          </w:p>
        </w:tc>
      </w:tr>
      <w:tr w:rsidR="00F83BEE" w:rsidRPr="00E960C9" w14:paraId="40DEF97A" w14:textId="77777777" w:rsidTr="00F83BEE">
        <w:tc>
          <w:tcPr>
            <w:tcW w:w="1870" w:type="dxa"/>
          </w:tcPr>
          <w:p w14:paraId="0A2E8F94" w14:textId="57D9B605" w:rsidR="00F83BEE" w:rsidRPr="00DF3E41" w:rsidRDefault="00F83BEE" w:rsidP="00904117">
            <w:pPr>
              <w:jc w:val="both"/>
              <w:rPr>
                <w:rFonts w:eastAsia="Calibri"/>
                <w:b/>
                <w:bCs/>
                <w:sz w:val="22"/>
                <w:szCs w:val="22"/>
                <w:highlight w:val="yellow"/>
              </w:rPr>
            </w:pPr>
            <w:commentRangeStart w:id="17"/>
            <w:commentRangeStart w:id="18"/>
            <w:r w:rsidRPr="00DF3E41">
              <w:rPr>
                <w:rFonts w:eastAsia="Calibri"/>
                <w:b/>
                <w:bCs/>
                <w:sz w:val="22"/>
                <w:szCs w:val="22"/>
                <w:highlight w:val="yellow"/>
              </w:rPr>
              <w:t>2019</w:t>
            </w:r>
          </w:p>
        </w:tc>
        <w:tc>
          <w:tcPr>
            <w:tcW w:w="1870" w:type="dxa"/>
          </w:tcPr>
          <w:p w14:paraId="3746DB96" w14:textId="6B3324B5" w:rsidR="00F83BEE" w:rsidRPr="00DF3E41" w:rsidRDefault="00F83BEE" w:rsidP="00904117">
            <w:pPr>
              <w:jc w:val="both"/>
              <w:rPr>
                <w:rFonts w:eastAsia="Calibri"/>
                <w:sz w:val="22"/>
                <w:szCs w:val="22"/>
                <w:highlight w:val="yellow"/>
              </w:rPr>
            </w:pPr>
            <w:r w:rsidRPr="00DF3E41">
              <w:rPr>
                <w:rFonts w:eastAsia="Calibri"/>
                <w:sz w:val="22"/>
                <w:szCs w:val="22"/>
                <w:highlight w:val="yellow"/>
              </w:rPr>
              <w:t>158</w:t>
            </w:r>
          </w:p>
        </w:tc>
        <w:tc>
          <w:tcPr>
            <w:tcW w:w="3059" w:type="dxa"/>
          </w:tcPr>
          <w:p w14:paraId="3462D386" w14:textId="7BC4B32E" w:rsidR="00F83BEE" w:rsidRPr="00E960C9" w:rsidRDefault="00F83BEE" w:rsidP="00904117">
            <w:pPr>
              <w:jc w:val="both"/>
              <w:rPr>
                <w:rFonts w:eastAsia="Calibri"/>
                <w:sz w:val="22"/>
                <w:szCs w:val="22"/>
              </w:rPr>
            </w:pPr>
            <w:r w:rsidRPr="00DF3E41">
              <w:rPr>
                <w:rFonts w:eastAsia="Calibri"/>
                <w:sz w:val="22"/>
                <w:szCs w:val="22"/>
                <w:highlight w:val="yellow"/>
              </w:rPr>
              <w:t>141</w:t>
            </w:r>
            <w:commentRangeEnd w:id="17"/>
            <w:r w:rsidR="001C7C97" w:rsidRPr="00DF3E41">
              <w:rPr>
                <w:rStyle w:val="CommentReference"/>
                <w:sz w:val="22"/>
                <w:szCs w:val="22"/>
                <w:highlight w:val="yellow"/>
              </w:rPr>
              <w:commentReference w:id="17"/>
            </w:r>
            <w:r w:rsidR="003A640D">
              <w:rPr>
                <w:rStyle w:val="CommentReference"/>
              </w:rPr>
              <w:commentReference w:id="18"/>
            </w:r>
          </w:p>
        </w:tc>
      </w:tr>
    </w:tbl>
    <w:commentRangeEnd w:id="18"/>
    <w:p w14:paraId="2B4D792F" w14:textId="77777777" w:rsidR="006676A7" w:rsidRPr="00E960C9" w:rsidRDefault="006676A7" w:rsidP="00904117">
      <w:pPr>
        <w:spacing w:after="160" w:line="259" w:lineRule="auto"/>
        <w:jc w:val="both"/>
        <w:rPr>
          <w:rFonts w:eastAsia="Calibri"/>
          <w:sz w:val="22"/>
          <w:szCs w:val="22"/>
        </w:rPr>
      </w:pPr>
      <w:r w:rsidRPr="00E960C9">
        <w:rPr>
          <w:rFonts w:eastAsia="Calibri"/>
          <w:sz w:val="22"/>
          <w:szCs w:val="22"/>
        </w:rPr>
        <w:t xml:space="preserve">Considering the expanded mandate and the increased number of applications, the budget and number of personnel of the Inspector’s Office grew. In 2017 the budget of the Office was 2.0 </w:t>
      </w:r>
      <w:proofErr w:type="spellStart"/>
      <w:r w:rsidRPr="00E960C9">
        <w:rPr>
          <w:rFonts w:eastAsia="Calibri"/>
          <w:sz w:val="22"/>
          <w:szCs w:val="22"/>
        </w:rPr>
        <w:t>mln</w:t>
      </w:r>
      <w:proofErr w:type="spellEnd"/>
      <w:r w:rsidRPr="00E960C9">
        <w:rPr>
          <w:rFonts w:eastAsia="Calibri"/>
          <w:sz w:val="22"/>
          <w:szCs w:val="22"/>
        </w:rPr>
        <w:t xml:space="preserve"> GEL and the number of employees – 43; in 2018 the budget was 2.8 </w:t>
      </w:r>
      <w:proofErr w:type="spellStart"/>
      <w:r w:rsidRPr="00E960C9">
        <w:rPr>
          <w:rFonts w:eastAsia="Calibri"/>
          <w:sz w:val="22"/>
          <w:szCs w:val="22"/>
        </w:rPr>
        <w:t>mln</w:t>
      </w:r>
      <w:proofErr w:type="spellEnd"/>
      <w:r w:rsidRPr="00E960C9">
        <w:rPr>
          <w:rFonts w:eastAsia="Calibri"/>
          <w:sz w:val="22"/>
          <w:szCs w:val="22"/>
        </w:rPr>
        <w:t xml:space="preserve"> GEL and the number of employees – 53; in 2019, the budget was 4.4 </w:t>
      </w:r>
      <w:proofErr w:type="spellStart"/>
      <w:r w:rsidRPr="00E960C9">
        <w:rPr>
          <w:rFonts w:eastAsia="Calibri"/>
          <w:sz w:val="22"/>
          <w:szCs w:val="22"/>
        </w:rPr>
        <w:t>mln</w:t>
      </w:r>
      <w:proofErr w:type="spellEnd"/>
      <w:r w:rsidRPr="00E960C9">
        <w:rPr>
          <w:rFonts w:eastAsia="Calibri"/>
          <w:sz w:val="22"/>
          <w:szCs w:val="22"/>
        </w:rPr>
        <w:t xml:space="preserve"> GEL and the number of employees – 87. The financing of the Office doubled in 2020 and is 8.0 </w:t>
      </w:r>
      <w:proofErr w:type="spellStart"/>
      <w:r w:rsidRPr="00E960C9">
        <w:rPr>
          <w:rFonts w:eastAsia="Calibri"/>
          <w:sz w:val="22"/>
          <w:szCs w:val="22"/>
        </w:rPr>
        <w:t>mln</w:t>
      </w:r>
      <w:proofErr w:type="spellEnd"/>
      <w:r w:rsidRPr="00E960C9">
        <w:rPr>
          <w:rFonts w:eastAsia="Calibri"/>
          <w:sz w:val="22"/>
          <w:szCs w:val="22"/>
        </w:rPr>
        <w:t xml:space="preserve"> GEL. </w:t>
      </w:r>
    </w:p>
    <w:p w14:paraId="330811B5" w14:textId="778276A1" w:rsidR="002140BA" w:rsidRPr="00E960C9" w:rsidRDefault="006676A7" w:rsidP="00904117">
      <w:pPr>
        <w:spacing w:before="120" w:after="120"/>
        <w:jc w:val="both"/>
        <w:rPr>
          <w:rFonts w:eastAsia="Calibri"/>
          <w:sz w:val="22"/>
          <w:szCs w:val="22"/>
        </w:rPr>
      </w:pPr>
      <w:r w:rsidRPr="00E960C9">
        <w:rPr>
          <w:rFonts w:eastAsia="Calibri"/>
          <w:sz w:val="22"/>
          <w:szCs w:val="22"/>
        </w:rPr>
        <w:t xml:space="preserve">It is noteworthy that the members of the Human Rights Protection and Civil Integration Parliamentary Committee initiated amendments to the Law of Georgia on Personal Data protection; the primary purpose of the amendments is to bring the Georgian legislation in compliance with the European standards. </w:t>
      </w:r>
    </w:p>
    <w:p w14:paraId="579C2A43" w14:textId="2F4C1389" w:rsidR="002140BA"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19" w:name="_Toc51302043"/>
      <w:r w:rsidRPr="00E960C9">
        <w:rPr>
          <w:rFonts w:ascii="Times New Roman" w:eastAsia="Calibri" w:hAnsi="Times New Roman" w:cs="Times New Roman"/>
          <w:sz w:val="22"/>
          <w:szCs w:val="22"/>
        </w:rPr>
        <w:t xml:space="preserve">Freedom of religion, </w:t>
      </w:r>
      <w:r w:rsidR="0048775D" w:rsidRPr="00E960C9">
        <w:rPr>
          <w:rFonts w:ascii="Times New Roman" w:eastAsia="Calibri" w:hAnsi="Times New Roman" w:cs="Times New Roman"/>
          <w:sz w:val="22"/>
          <w:szCs w:val="22"/>
        </w:rPr>
        <w:t>e</w:t>
      </w:r>
      <w:r w:rsidRPr="00E960C9">
        <w:rPr>
          <w:rFonts w:ascii="Times New Roman" w:eastAsia="Calibri" w:hAnsi="Times New Roman" w:cs="Times New Roman"/>
          <w:sz w:val="22"/>
          <w:szCs w:val="22"/>
        </w:rPr>
        <w:t xml:space="preserve">xpression, </w:t>
      </w:r>
      <w:r w:rsidR="001B3DEF" w:rsidRPr="00E960C9">
        <w:rPr>
          <w:rFonts w:ascii="Times New Roman" w:eastAsia="Calibri" w:hAnsi="Times New Roman" w:cs="Times New Roman"/>
          <w:sz w:val="22"/>
          <w:szCs w:val="22"/>
        </w:rPr>
        <w:t>freedom of assembly and unions</w:t>
      </w:r>
      <w:bookmarkEnd w:id="19"/>
    </w:p>
    <w:p w14:paraId="6759BB88" w14:textId="766EBCA6"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Freedom of religion and belief is recognized and protected by the Constitution, international treaties in force for Georgia and the </w:t>
      </w:r>
      <w:r w:rsidR="0048775D" w:rsidRPr="00E960C9">
        <w:rPr>
          <w:rFonts w:eastAsia="Calibri"/>
          <w:sz w:val="22"/>
          <w:szCs w:val="22"/>
        </w:rPr>
        <w:t>L</w:t>
      </w:r>
      <w:r w:rsidRPr="00E960C9">
        <w:rPr>
          <w:rFonts w:eastAsia="Calibri"/>
          <w:sz w:val="22"/>
          <w:szCs w:val="22"/>
        </w:rPr>
        <w:t xml:space="preserve">aw of Georgia on Elimination of all Forms of Discrimination.   </w:t>
      </w:r>
    </w:p>
    <w:p w14:paraId="787C4D4F" w14:textId="27B82C14"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Creation and registration of religious </w:t>
      </w:r>
      <w:r w:rsidR="00C0157F" w:rsidRPr="00E960C9">
        <w:rPr>
          <w:rFonts w:eastAsia="Calibri"/>
          <w:sz w:val="22"/>
          <w:szCs w:val="22"/>
        </w:rPr>
        <w:t>organisation</w:t>
      </w:r>
      <w:r w:rsidRPr="00E960C9">
        <w:rPr>
          <w:rFonts w:eastAsia="Calibri"/>
          <w:sz w:val="22"/>
          <w:szCs w:val="22"/>
        </w:rPr>
        <w:t xml:space="preserve">s in Georgia is free. Based on their own choice, they can be registered as a legal entity of public law as well as a legal entity of private law, or they can operate as unregistered unions.   </w:t>
      </w:r>
    </w:p>
    <w:p w14:paraId="53AEC808" w14:textId="5F7FBFD3"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The State Agency of Religious Issues cooperates closely cooperating with all religious </w:t>
      </w:r>
      <w:r w:rsidR="00C0157F" w:rsidRPr="00E960C9">
        <w:rPr>
          <w:rFonts w:eastAsia="Calibri"/>
          <w:sz w:val="22"/>
          <w:szCs w:val="22"/>
        </w:rPr>
        <w:t>organisation</w:t>
      </w:r>
      <w:r w:rsidRPr="00E960C9">
        <w:rPr>
          <w:rFonts w:eastAsia="Calibri"/>
          <w:sz w:val="22"/>
          <w:szCs w:val="22"/>
        </w:rPr>
        <w:t xml:space="preserve">s existing in Georgia and promotes their dialogue, implements different projects and campaigns aiming at prevention of discrimination and fostering tolerance. </w:t>
      </w:r>
    </w:p>
    <w:p w14:paraId="733CD051" w14:textId="77777777"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Inter-religious Council was established and is operating at the State Agency of Religious Issues, with the participation of almost all religious associations of Georgia.    </w:t>
      </w:r>
    </w:p>
    <w:p w14:paraId="3321FAEF" w14:textId="42EEE336" w:rsidR="0048775D" w:rsidRPr="00E960C9" w:rsidRDefault="0048775D" w:rsidP="0048775D">
      <w:pPr>
        <w:spacing w:before="120" w:after="120"/>
        <w:jc w:val="both"/>
        <w:rPr>
          <w:rFonts w:eastAsia="Calibri"/>
          <w:sz w:val="22"/>
          <w:szCs w:val="22"/>
        </w:rPr>
      </w:pPr>
      <w:r w:rsidRPr="00E960C9">
        <w:rPr>
          <w:rFonts w:eastAsia="Calibri"/>
          <w:sz w:val="22"/>
          <w:szCs w:val="22"/>
        </w:rPr>
        <w:t xml:space="preserve">Even though Georgia is not a legal successor of the Soviet Union, the State gradually returns the cult buildings to the religious </w:t>
      </w:r>
      <w:r w:rsidR="00C0157F" w:rsidRPr="00E960C9">
        <w:rPr>
          <w:rFonts w:eastAsia="Calibri"/>
          <w:sz w:val="22"/>
          <w:szCs w:val="22"/>
        </w:rPr>
        <w:t>organisation</w:t>
      </w:r>
      <w:r w:rsidRPr="00E960C9">
        <w:rPr>
          <w:rFonts w:eastAsia="Calibri"/>
          <w:sz w:val="22"/>
          <w:szCs w:val="22"/>
        </w:rPr>
        <w:t xml:space="preserve">s, which have become the State property after the independence was restored and symbolically and partially compensated for the damage caused during the Soviet regime.   </w:t>
      </w:r>
    </w:p>
    <w:p w14:paraId="35E1163D" w14:textId="39A4758C" w:rsidR="0048775D" w:rsidRPr="00E960C9" w:rsidRDefault="0048775D" w:rsidP="0048775D">
      <w:pPr>
        <w:spacing w:before="120" w:after="120"/>
        <w:jc w:val="both"/>
        <w:rPr>
          <w:rFonts w:eastAsia="Calibri"/>
          <w:sz w:val="22"/>
          <w:szCs w:val="22"/>
        </w:rPr>
      </w:pPr>
      <w:r w:rsidRPr="00E960C9">
        <w:rPr>
          <w:rFonts w:eastAsia="Calibri"/>
          <w:sz w:val="22"/>
          <w:szCs w:val="22"/>
        </w:rPr>
        <w:t xml:space="preserve">Since 2014 until today 212 Mosques were returned to the Muslim community, 20 Synagogues to the Jewish community, two churches to the Evangelical Protestant Church, 1 – to the Evangelical Lutheran Church. In 2015 the State purchased two four-storey buildings. It transferred them with the right to use to the LEPL Supreme Religious Administration of Georgia's All Muslims (a total value of 5 million Gel). The land with the right to use was transferred to the Yezidi community, where they build a cult building and cultural centre. The process of returning cult buildings continues. In 2014-2019 the Muslim community was given </w:t>
      </w:r>
      <w:r w:rsidRPr="00E960C9">
        <w:rPr>
          <w:rFonts w:eastAsia="Calibri"/>
          <w:sz w:val="22"/>
          <w:szCs w:val="22"/>
        </w:rPr>
        <w:lastRenderedPageBreak/>
        <w:t xml:space="preserve">14 300 000 GEL in 2014-2019, Roman Catholic Community – 2,800 </w:t>
      </w:r>
      <w:proofErr w:type="spellStart"/>
      <w:r w:rsidRPr="00E960C9">
        <w:rPr>
          <w:rFonts w:eastAsia="Calibri"/>
          <w:sz w:val="22"/>
          <w:szCs w:val="22"/>
        </w:rPr>
        <w:t>mln</w:t>
      </w:r>
      <w:proofErr w:type="spellEnd"/>
      <w:r w:rsidRPr="00E960C9">
        <w:rPr>
          <w:rFonts w:eastAsia="Calibri"/>
          <w:sz w:val="22"/>
          <w:szCs w:val="22"/>
        </w:rPr>
        <w:t xml:space="preserve"> GEL, Armenian Apostolic Community – 4.1 </w:t>
      </w:r>
      <w:proofErr w:type="spellStart"/>
      <w:r w:rsidRPr="00E960C9">
        <w:rPr>
          <w:rFonts w:eastAsia="Calibri"/>
          <w:sz w:val="22"/>
          <w:szCs w:val="22"/>
        </w:rPr>
        <w:t>mln</w:t>
      </w:r>
      <w:proofErr w:type="spellEnd"/>
      <w:r w:rsidRPr="00E960C9">
        <w:rPr>
          <w:rFonts w:eastAsia="Calibri"/>
          <w:sz w:val="22"/>
          <w:szCs w:val="22"/>
        </w:rPr>
        <w:t xml:space="preserve"> GEL, Jewish Community – 2.05 </w:t>
      </w:r>
      <w:proofErr w:type="spellStart"/>
      <w:r w:rsidRPr="00E960C9">
        <w:rPr>
          <w:rFonts w:eastAsia="Calibri"/>
          <w:sz w:val="22"/>
          <w:szCs w:val="22"/>
        </w:rPr>
        <w:t>mln</w:t>
      </w:r>
      <w:proofErr w:type="spellEnd"/>
      <w:r w:rsidRPr="00E960C9">
        <w:rPr>
          <w:rFonts w:eastAsia="Calibri"/>
          <w:sz w:val="22"/>
          <w:szCs w:val="22"/>
        </w:rPr>
        <w:t xml:space="preserve"> GEL.  </w:t>
      </w:r>
    </w:p>
    <w:p w14:paraId="2EB805C4" w14:textId="77777777"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The Georgian authorities provide safeguards for the independence of media and pluralism. The Georgian regulatory framework on media broadcasting is one of the most liberal in Europe. </w:t>
      </w:r>
    </w:p>
    <w:p w14:paraId="64C20312" w14:textId="77777777"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Any physical or legal person can launch broadcasting within ten days based on a simple authorization process. Subsequently, there are 101 broadcasters in Georgia. </w:t>
      </w:r>
    </w:p>
    <w:p w14:paraId="01FCC5B3" w14:textId="77777777"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According to the 2019 World Press Freedom Index, the freedom of expression in Georgia ranks as 60th worldwide that is a significant improvement from 104th position in 2012. </w:t>
      </w:r>
    </w:p>
    <w:p w14:paraId="593916AD" w14:textId="4AFBE99E"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The </w:t>
      </w:r>
      <w:r w:rsidR="0048775D" w:rsidRPr="00E960C9">
        <w:rPr>
          <w:rFonts w:eastAsia="Calibri"/>
          <w:sz w:val="22"/>
          <w:szCs w:val="22"/>
        </w:rPr>
        <w:t xml:space="preserve">GOG </w:t>
      </w:r>
      <w:r w:rsidRPr="00E960C9">
        <w:rPr>
          <w:rFonts w:eastAsia="Calibri"/>
          <w:sz w:val="22"/>
          <w:szCs w:val="22"/>
        </w:rPr>
        <w:t xml:space="preserve">vigorously protects the rights of participants of gatherings and manifestations, as well as focuses on consideration and implementation of the State's positive obligations to ensure their safety. </w:t>
      </w:r>
      <w:r w:rsidR="0048775D" w:rsidRPr="00E960C9">
        <w:rPr>
          <w:rFonts w:eastAsia="Calibri"/>
          <w:sz w:val="22"/>
          <w:szCs w:val="22"/>
        </w:rPr>
        <w:t xml:space="preserve">The MIA structural units safeguard freedom of expression for every citizen and prevent and effectively respond to violence. </w:t>
      </w:r>
    </w:p>
    <w:p w14:paraId="7E27E2F5" w14:textId="3D3E4138" w:rsidR="00831646" w:rsidRPr="00E960C9" w:rsidRDefault="00831646" w:rsidP="00904117">
      <w:pPr>
        <w:spacing w:before="120" w:after="120"/>
        <w:jc w:val="both"/>
        <w:rPr>
          <w:rFonts w:eastAsia="Calibri"/>
          <w:sz w:val="22"/>
          <w:szCs w:val="22"/>
        </w:rPr>
      </w:pPr>
      <w:r w:rsidRPr="00E960C9">
        <w:rPr>
          <w:rFonts w:eastAsia="Calibri"/>
          <w:sz w:val="22"/>
          <w:szCs w:val="22"/>
        </w:rPr>
        <w:t xml:space="preserve">The Constitution of Georgia guarantees the freedom of association, the right to establish and join trade unions, right to strike. Citizens of Georgia shall have the right to form a political party and participate in its activities </w:t>
      </w:r>
      <w:r w:rsidR="000F0912" w:rsidRPr="00E960C9">
        <w:rPr>
          <w:rFonts w:eastAsia="Calibri"/>
          <w:sz w:val="22"/>
          <w:szCs w:val="22"/>
        </w:rPr>
        <w:t>under</w:t>
      </w:r>
      <w:r w:rsidRPr="00E960C9">
        <w:rPr>
          <w:rFonts w:eastAsia="Calibri"/>
          <w:sz w:val="22"/>
          <w:szCs w:val="22"/>
        </w:rPr>
        <w:t xml:space="preserve"> the organic law. </w:t>
      </w:r>
    </w:p>
    <w:p w14:paraId="1D0E408E" w14:textId="3F017928" w:rsidR="00320578" w:rsidRPr="00E960C9" w:rsidRDefault="00831646" w:rsidP="00904117">
      <w:pPr>
        <w:spacing w:before="120" w:after="120"/>
        <w:jc w:val="both"/>
        <w:rPr>
          <w:rFonts w:eastAsia="Calibri"/>
          <w:sz w:val="22"/>
          <w:szCs w:val="22"/>
        </w:rPr>
      </w:pPr>
      <w:r w:rsidRPr="00E960C9">
        <w:rPr>
          <w:rFonts w:eastAsia="Calibri"/>
          <w:sz w:val="22"/>
          <w:szCs w:val="22"/>
        </w:rPr>
        <w:t>Registration of a legal person is possible in 1 day based on simplified procedures. There are 26,991</w:t>
      </w:r>
      <w:r w:rsidR="00A422CF" w:rsidRPr="00E960C9">
        <w:rPr>
          <w:rFonts w:eastAsia="Calibri"/>
          <w:sz w:val="22"/>
          <w:szCs w:val="22"/>
        </w:rPr>
        <w:t xml:space="preserve"> </w:t>
      </w:r>
      <w:r w:rsidRPr="00E960C9">
        <w:rPr>
          <w:rFonts w:eastAsia="Calibri"/>
          <w:sz w:val="22"/>
          <w:szCs w:val="22"/>
        </w:rPr>
        <w:t>non</w:t>
      </w:r>
      <w:r w:rsidR="00A422CF" w:rsidRPr="00E960C9">
        <w:rPr>
          <w:rFonts w:eastAsia="Calibri"/>
          <w:sz w:val="22"/>
          <w:szCs w:val="22"/>
        </w:rPr>
        <w:t>-</w:t>
      </w:r>
      <w:r w:rsidRPr="00E960C9">
        <w:rPr>
          <w:rFonts w:eastAsia="Calibri"/>
          <w:sz w:val="22"/>
          <w:szCs w:val="22"/>
        </w:rPr>
        <w:t xml:space="preserve">entrepreneurial (non-commercial) and 274,222 entrepreneurs in the Registry of Entrepreneurs and Non-entrepreneurial (Non-commercial) Legal Persons. 238 political entities are registered in the Registry of Citizens' Political </w:t>
      </w:r>
      <w:proofErr w:type="spellStart"/>
      <w:r w:rsidRPr="00E960C9">
        <w:rPr>
          <w:rFonts w:eastAsia="Calibri"/>
          <w:sz w:val="22"/>
          <w:szCs w:val="22"/>
        </w:rPr>
        <w:t>Unios</w:t>
      </w:r>
      <w:proofErr w:type="spellEnd"/>
      <w:r w:rsidRPr="00E960C9">
        <w:rPr>
          <w:rFonts w:eastAsia="Calibri"/>
          <w:sz w:val="22"/>
          <w:szCs w:val="22"/>
        </w:rPr>
        <w:t xml:space="preserve"> (Parties).</w:t>
      </w:r>
    </w:p>
    <w:p w14:paraId="0F8FFB43" w14:textId="578F264D" w:rsidR="00906628" w:rsidRPr="00E960C9" w:rsidRDefault="008F7985" w:rsidP="00904117">
      <w:pPr>
        <w:pStyle w:val="Heading2"/>
        <w:numPr>
          <w:ilvl w:val="0"/>
          <w:numId w:val="16"/>
        </w:numPr>
        <w:spacing w:before="120" w:after="120"/>
        <w:jc w:val="both"/>
        <w:rPr>
          <w:rFonts w:ascii="Times New Roman" w:eastAsia="Calibri" w:hAnsi="Times New Roman" w:cs="Times New Roman"/>
          <w:sz w:val="22"/>
          <w:szCs w:val="22"/>
        </w:rPr>
      </w:pPr>
      <w:bookmarkStart w:id="20" w:name="_Toc51302044"/>
      <w:r w:rsidRPr="00E960C9">
        <w:rPr>
          <w:rFonts w:ascii="Times New Roman" w:eastAsia="Calibri" w:hAnsi="Times New Roman" w:cs="Times New Roman"/>
          <w:sz w:val="22"/>
          <w:szCs w:val="22"/>
        </w:rPr>
        <w:t xml:space="preserve">Healthcare and </w:t>
      </w:r>
      <w:r w:rsidR="007D7AB8" w:rsidRPr="00E960C9">
        <w:rPr>
          <w:rFonts w:ascii="Times New Roman" w:eastAsia="Calibri" w:hAnsi="Times New Roman" w:cs="Times New Roman"/>
          <w:sz w:val="22"/>
          <w:szCs w:val="22"/>
        </w:rPr>
        <w:t>social protection</w:t>
      </w:r>
      <w:bookmarkEnd w:id="20"/>
      <w:r w:rsidR="007D7AB8" w:rsidRPr="00E960C9">
        <w:rPr>
          <w:rFonts w:ascii="Times New Roman" w:eastAsia="Calibri" w:hAnsi="Times New Roman" w:cs="Times New Roman"/>
          <w:sz w:val="22"/>
          <w:szCs w:val="22"/>
        </w:rPr>
        <w:t xml:space="preserve"> </w:t>
      </w:r>
    </w:p>
    <w:p w14:paraId="0FF5895F" w14:textId="77777777" w:rsidR="000F0912" w:rsidRPr="00E960C9" w:rsidRDefault="000F0912" w:rsidP="000F0912">
      <w:pPr>
        <w:spacing w:before="120" w:after="120"/>
        <w:jc w:val="both"/>
        <w:rPr>
          <w:rFonts w:eastAsia="Calibri"/>
          <w:sz w:val="22"/>
          <w:szCs w:val="22"/>
        </w:rPr>
      </w:pPr>
      <w:r w:rsidRPr="00E960C9">
        <w:rPr>
          <w:rFonts w:eastAsia="Calibri"/>
          <w:sz w:val="22"/>
          <w:szCs w:val="22"/>
        </w:rPr>
        <w:t xml:space="preserve">Enactment of the universal healthcare programme in 2013 was a significant step towards safeguarding the right to health. In 2017, a new criterion (based on the income of beneficiaries) for the universal healthcare programme beneficiaries was developed. The rationale of the new standards is the introduction of the social justice principle and provision of needs-oriented services. </w:t>
      </w:r>
    </w:p>
    <w:p w14:paraId="59A3C4B9" w14:textId="77777777" w:rsidR="000F0912" w:rsidRPr="00E960C9" w:rsidRDefault="000F0912" w:rsidP="000F0912">
      <w:pPr>
        <w:spacing w:before="120" w:after="120"/>
        <w:jc w:val="both"/>
        <w:rPr>
          <w:rFonts w:eastAsia="Calibri"/>
          <w:sz w:val="22"/>
          <w:szCs w:val="22"/>
        </w:rPr>
      </w:pPr>
      <w:r w:rsidRPr="00E960C9">
        <w:rPr>
          <w:rFonts w:eastAsia="Calibri"/>
          <w:sz w:val="22"/>
          <w:szCs w:val="22"/>
        </w:rPr>
        <w:t xml:space="preserve">In 2017 the State Programme for providing medicines for chronic diseases became operational for the citizens with chronic illnesses. Through the program, medication for the following chronic diseases is available: cardiovascular diseases, chronic diseases of the lung, thyroid gland disease and diabetes Type 2.  </w:t>
      </w:r>
    </w:p>
    <w:p w14:paraId="79DA4D23" w14:textId="4F85304A" w:rsidR="000F0912" w:rsidRPr="00E960C9" w:rsidRDefault="000F0912" w:rsidP="000F0912">
      <w:pPr>
        <w:spacing w:before="120" w:after="120"/>
        <w:jc w:val="both"/>
        <w:rPr>
          <w:rFonts w:eastAsia="Calibri"/>
          <w:sz w:val="22"/>
          <w:szCs w:val="22"/>
        </w:rPr>
      </w:pPr>
      <w:r w:rsidRPr="00E960C9">
        <w:rPr>
          <w:rFonts w:eastAsia="Calibri"/>
          <w:sz w:val="22"/>
          <w:szCs w:val="22"/>
        </w:rPr>
        <w:t xml:space="preserve">Since 2019, the State reimburses costs for treatment medicines for citizens who reached the retirement age and persons with disabilities; the State also reimburses 75% of the expenses on drugs for Parkinson's disease and epilepsy treatment. </w:t>
      </w:r>
    </w:p>
    <w:p w14:paraId="19757A0D" w14:textId="60E475AD" w:rsidR="0088231A" w:rsidRPr="00E960C9" w:rsidRDefault="0088231A" w:rsidP="00904117">
      <w:pPr>
        <w:spacing w:before="120" w:after="120"/>
        <w:jc w:val="both"/>
        <w:rPr>
          <w:rFonts w:eastAsia="Calibri"/>
          <w:sz w:val="22"/>
          <w:szCs w:val="22"/>
        </w:rPr>
      </w:pPr>
      <w:r w:rsidRPr="00E960C9">
        <w:rPr>
          <w:rFonts w:eastAsia="Calibri"/>
          <w:sz w:val="22"/>
          <w:szCs w:val="22"/>
        </w:rPr>
        <w:t xml:space="preserve">In 2015 the GOG launched unique Hepatitis C Elimination </w:t>
      </w:r>
      <w:r w:rsidR="000D5D77" w:rsidRPr="00E960C9">
        <w:rPr>
          <w:rFonts w:eastAsia="Calibri"/>
          <w:sz w:val="22"/>
          <w:szCs w:val="22"/>
        </w:rPr>
        <w:t>Programme</w:t>
      </w:r>
      <w:r w:rsidRPr="00E960C9">
        <w:rPr>
          <w:rFonts w:eastAsia="Calibri"/>
          <w:sz w:val="22"/>
          <w:szCs w:val="22"/>
        </w:rPr>
        <w:t xml:space="preserve">.  Patients have access to pre-treatment diagnostics and check-ups necessary for treatment monitoring, as well as Hepatitis C treatment medicines. After 2019, the GOG provides full financing for pre-treatment diagnostics and check-ups necessary for treatment monitoring. Approximately 65,000 patients began treatment since the launch of the </w:t>
      </w:r>
      <w:r w:rsidR="000D5D77" w:rsidRPr="00E960C9">
        <w:rPr>
          <w:rFonts w:eastAsia="Calibri"/>
          <w:sz w:val="22"/>
          <w:szCs w:val="22"/>
        </w:rPr>
        <w:t>Programme</w:t>
      </w:r>
      <w:r w:rsidRPr="00E960C9">
        <w:rPr>
          <w:rFonts w:eastAsia="Calibri"/>
          <w:sz w:val="22"/>
          <w:szCs w:val="22"/>
        </w:rPr>
        <w:t xml:space="preserve">. 60,000 patients completed the treatment, and the recovery rate is 98.7%. </w:t>
      </w:r>
    </w:p>
    <w:p w14:paraId="7D9A5D8A" w14:textId="7BD5AFC1" w:rsidR="0022788C" w:rsidRPr="00E960C9" w:rsidRDefault="0022788C" w:rsidP="0022788C">
      <w:pPr>
        <w:spacing w:before="120" w:after="120"/>
        <w:jc w:val="both"/>
        <w:rPr>
          <w:rFonts w:eastAsia="Calibri"/>
          <w:sz w:val="22"/>
          <w:szCs w:val="22"/>
        </w:rPr>
      </w:pPr>
      <w:r w:rsidRPr="00E960C9">
        <w:rPr>
          <w:rFonts w:eastAsia="Calibri"/>
          <w:sz w:val="22"/>
          <w:szCs w:val="22"/>
        </w:rPr>
        <w:t xml:space="preserve">In 2017, the GOG approved the National Maternal and </w:t>
      </w:r>
      <w:proofErr w:type="spellStart"/>
      <w:r w:rsidRPr="00E960C9">
        <w:rPr>
          <w:rFonts w:eastAsia="Calibri"/>
          <w:sz w:val="22"/>
          <w:szCs w:val="22"/>
        </w:rPr>
        <w:t>Newb</w:t>
      </w:r>
      <w:r w:rsidR="00F603BD" w:rsidRPr="00E960C9">
        <w:rPr>
          <w:rFonts w:eastAsia="Calibri"/>
          <w:sz w:val="22"/>
          <w:szCs w:val="22"/>
        </w:rPr>
        <w:t>o</w:t>
      </w:r>
      <w:r w:rsidRPr="00E960C9">
        <w:rPr>
          <w:rFonts w:eastAsia="Calibri"/>
          <w:sz w:val="22"/>
          <w:szCs w:val="22"/>
        </w:rPr>
        <w:t>rn</w:t>
      </w:r>
      <w:proofErr w:type="spellEnd"/>
      <w:r w:rsidRPr="00E960C9">
        <w:rPr>
          <w:rFonts w:eastAsia="Calibri"/>
          <w:sz w:val="22"/>
          <w:szCs w:val="22"/>
        </w:rPr>
        <w:t xml:space="preserve"> Health Strategy for 2017-2030 and 2017-2019 Action Plan that aim</w:t>
      </w:r>
      <w:r w:rsidR="005152E4">
        <w:rPr>
          <w:rFonts w:eastAsia="Calibri"/>
          <w:sz w:val="22"/>
          <w:szCs w:val="22"/>
        </w:rPr>
        <w:t>ed</w:t>
      </w:r>
      <w:r w:rsidRPr="00E960C9">
        <w:rPr>
          <w:rFonts w:eastAsia="Calibri"/>
          <w:sz w:val="22"/>
          <w:szCs w:val="22"/>
        </w:rPr>
        <w:t xml:space="preserve"> to decrease maternal and new-born morbidity and mortality, and improvement of access to the reproductive services. </w:t>
      </w:r>
    </w:p>
    <w:p w14:paraId="5D33AD59" w14:textId="5A4078CD" w:rsidR="0088231A" w:rsidRPr="00E960C9" w:rsidRDefault="0022788C" w:rsidP="0022788C">
      <w:pPr>
        <w:spacing w:before="120" w:after="120"/>
        <w:jc w:val="both"/>
        <w:rPr>
          <w:rFonts w:eastAsia="Calibri"/>
          <w:sz w:val="22"/>
          <w:szCs w:val="22"/>
        </w:rPr>
      </w:pPr>
      <w:r w:rsidRPr="00E960C9">
        <w:rPr>
          <w:rFonts w:eastAsia="Calibri"/>
          <w:sz w:val="22"/>
          <w:szCs w:val="22"/>
        </w:rPr>
        <w:t xml:space="preserve">Maternal mortality rate (per 100,000 </w:t>
      </w:r>
      <w:r w:rsidR="00011B8D" w:rsidRPr="00E960C9">
        <w:rPr>
          <w:rFonts w:eastAsia="Calibri"/>
          <w:sz w:val="22"/>
          <w:szCs w:val="22"/>
        </w:rPr>
        <w:t>live birth</w:t>
      </w:r>
      <w:r w:rsidRPr="00E960C9">
        <w:rPr>
          <w:rFonts w:eastAsia="Calibri"/>
          <w:sz w:val="22"/>
          <w:szCs w:val="22"/>
        </w:rPr>
        <w:t>) decreased from 32.2 (in 2015) to 27.4 (in 2018). New-born mortality rate (1</w:t>
      </w:r>
      <w:r w:rsidR="00011B8D" w:rsidRPr="00E960C9">
        <w:rPr>
          <w:rFonts w:eastAsia="Calibri"/>
          <w:sz w:val="22"/>
          <w:szCs w:val="22"/>
        </w:rPr>
        <w:t>,</w:t>
      </w:r>
      <w:r w:rsidRPr="00E960C9">
        <w:rPr>
          <w:rFonts w:eastAsia="Calibri"/>
          <w:sz w:val="22"/>
          <w:szCs w:val="22"/>
        </w:rPr>
        <w:t xml:space="preserve">000 </w:t>
      </w:r>
      <w:r w:rsidR="00011B8D" w:rsidRPr="00E960C9">
        <w:rPr>
          <w:rFonts w:eastAsia="Calibri"/>
          <w:sz w:val="22"/>
          <w:szCs w:val="22"/>
        </w:rPr>
        <w:t>live birth</w:t>
      </w:r>
      <w:r w:rsidRPr="00E960C9">
        <w:rPr>
          <w:rFonts w:eastAsia="Calibri"/>
          <w:sz w:val="22"/>
          <w:szCs w:val="22"/>
        </w:rPr>
        <w:t xml:space="preserve">) also reduced from 8.6 (in 2015) to 8.1 (in 2018). </w:t>
      </w:r>
    </w:p>
    <w:p w14:paraId="228E2426" w14:textId="76673DB7" w:rsidR="0088231A" w:rsidRPr="00E960C9" w:rsidRDefault="0088231A" w:rsidP="00904117">
      <w:pPr>
        <w:spacing w:before="120" w:after="120"/>
        <w:jc w:val="both"/>
        <w:rPr>
          <w:rFonts w:eastAsia="Calibri"/>
          <w:sz w:val="22"/>
          <w:szCs w:val="22"/>
        </w:rPr>
      </w:pPr>
      <w:r w:rsidRPr="00E960C9">
        <w:rPr>
          <w:rFonts w:eastAsia="Calibri"/>
          <w:sz w:val="22"/>
          <w:szCs w:val="22"/>
        </w:rPr>
        <w:t xml:space="preserve">In 2015, a new methodology for evaluation of the family social-economic situation was approved. Social benefits are issues </w:t>
      </w:r>
      <w:r w:rsidR="00A67F3D" w:rsidRPr="00E960C9">
        <w:rPr>
          <w:rFonts w:eastAsia="Calibri"/>
          <w:sz w:val="22"/>
          <w:szCs w:val="22"/>
        </w:rPr>
        <w:t xml:space="preserve">based on </w:t>
      </w:r>
      <w:r w:rsidR="005F6384" w:rsidRPr="00E960C9">
        <w:rPr>
          <w:rFonts w:eastAsia="Calibri"/>
          <w:sz w:val="22"/>
          <w:szCs w:val="22"/>
        </w:rPr>
        <w:t xml:space="preserve">a </w:t>
      </w:r>
      <w:r w:rsidR="00A67F3D" w:rsidRPr="00E960C9">
        <w:rPr>
          <w:rFonts w:eastAsia="Calibri"/>
          <w:sz w:val="22"/>
          <w:szCs w:val="22"/>
        </w:rPr>
        <w:t xml:space="preserve">gradual system - </w:t>
      </w:r>
      <w:r w:rsidRPr="00E960C9">
        <w:rPr>
          <w:rFonts w:eastAsia="Calibri"/>
          <w:sz w:val="22"/>
          <w:szCs w:val="22"/>
        </w:rPr>
        <w:t xml:space="preserve">the higher the family need, the more is the received support. </w:t>
      </w:r>
      <w:r w:rsidR="00A67F3D" w:rsidRPr="00E960C9">
        <w:rPr>
          <w:rFonts w:eastAsia="Calibri"/>
          <w:sz w:val="22"/>
          <w:szCs w:val="22"/>
        </w:rPr>
        <w:t>Introduced c</w:t>
      </w:r>
      <w:r w:rsidRPr="00E960C9">
        <w:rPr>
          <w:rFonts w:eastAsia="Calibri"/>
          <w:sz w:val="22"/>
          <w:szCs w:val="22"/>
        </w:rPr>
        <w:t xml:space="preserve">hild benefit increased to 50 GEL from 10 GEL in 2019. </w:t>
      </w:r>
    </w:p>
    <w:p w14:paraId="2FDB8778" w14:textId="41E10C84" w:rsidR="00011B8D" w:rsidRPr="00E960C9" w:rsidRDefault="0088231A" w:rsidP="00904117">
      <w:pPr>
        <w:spacing w:before="120" w:after="120"/>
        <w:jc w:val="both"/>
        <w:rPr>
          <w:rFonts w:eastAsia="Calibri"/>
          <w:sz w:val="22"/>
          <w:szCs w:val="22"/>
        </w:rPr>
      </w:pPr>
      <w:r w:rsidRPr="00E960C9">
        <w:rPr>
          <w:rFonts w:eastAsia="Calibri"/>
          <w:sz w:val="22"/>
          <w:szCs w:val="22"/>
        </w:rPr>
        <w:lastRenderedPageBreak/>
        <w:t xml:space="preserve">The GOG efforts to increase state pension and social benefits are noteworthy. Age-based pension gradually increased </w:t>
      </w:r>
      <w:r w:rsidR="001B08C9" w:rsidRPr="00E960C9">
        <w:rPr>
          <w:rFonts w:eastAsia="Calibri"/>
          <w:sz w:val="22"/>
          <w:szCs w:val="22"/>
        </w:rPr>
        <w:t>up to</w:t>
      </w:r>
      <w:r w:rsidRPr="00E960C9">
        <w:rPr>
          <w:rFonts w:eastAsia="Calibri"/>
          <w:sz w:val="22"/>
          <w:szCs w:val="22"/>
        </w:rPr>
        <w:t xml:space="preserve"> 200 GEL.  </w:t>
      </w:r>
      <w:r w:rsidR="00011B8D" w:rsidRPr="00E960C9">
        <w:rPr>
          <w:rFonts w:eastAsia="Calibri"/>
          <w:sz w:val="22"/>
          <w:szCs w:val="22"/>
        </w:rPr>
        <w:t xml:space="preserve">Social benefits for </w:t>
      </w:r>
      <w:r w:rsidR="0069054E" w:rsidRPr="00E960C9">
        <w:rPr>
          <w:rFonts w:eastAsia="Calibri"/>
          <w:sz w:val="22"/>
          <w:szCs w:val="22"/>
        </w:rPr>
        <w:t>persons</w:t>
      </w:r>
      <w:r w:rsidR="00011B8D" w:rsidRPr="00E960C9">
        <w:rPr>
          <w:rFonts w:eastAsia="Calibri"/>
          <w:sz w:val="22"/>
          <w:szCs w:val="22"/>
        </w:rPr>
        <w:t xml:space="preserve"> with </w:t>
      </w:r>
      <w:r w:rsidR="005A2FB7">
        <w:rPr>
          <w:rFonts w:eastAsia="Calibri"/>
          <w:sz w:val="22"/>
          <w:szCs w:val="22"/>
        </w:rPr>
        <w:t>profound</w:t>
      </w:r>
      <w:r w:rsidR="005A2FB7" w:rsidRPr="00E960C9">
        <w:rPr>
          <w:rFonts w:eastAsia="Calibri"/>
          <w:sz w:val="22"/>
          <w:szCs w:val="22"/>
        </w:rPr>
        <w:t xml:space="preserve"> </w:t>
      </w:r>
      <w:r w:rsidR="00011B8D" w:rsidRPr="00E960C9">
        <w:rPr>
          <w:rFonts w:eastAsia="Calibri"/>
          <w:sz w:val="22"/>
          <w:szCs w:val="22"/>
        </w:rPr>
        <w:t xml:space="preserve">disability and children with disability increased to 200 GEL, while the persons with considerable disability </w:t>
      </w:r>
      <w:r w:rsidR="00AA189A" w:rsidRPr="00E960C9">
        <w:rPr>
          <w:rFonts w:eastAsia="Calibri"/>
          <w:sz w:val="22"/>
          <w:szCs w:val="22"/>
        </w:rPr>
        <w:t>receive 120 GEL.</w:t>
      </w:r>
    </w:p>
    <w:p w14:paraId="7FC6897D" w14:textId="01B35E9E" w:rsidR="002C2AF8" w:rsidRPr="00E960C9" w:rsidRDefault="002C2AF8" w:rsidP="00904117">
      <w:pPr>
        <w:spacing w:before="120" w:after="120"/>
        <w:jc w:val="both"/>
        <w:rPr>
          <w:rFonts w:eastAsia="Calibri"/>
          <w:sz w:val="22"/>
          <w:szCs w:val="22"/>
        </w:rPr>
      </w:pPr>
      <w:r w:rsidRPr="00E960C9">
        <w:rPr>
          <w:rFonts w:eastAsia="Calibri"/>
          <w:sz w:val="22"/>
          <w:szCs w:val="22"/>
        </w:rPr>
        <w:t xml:space="preserve">Since 2016, according to the increased retirement </w:t>
      </w:r>
      <w:r w:rsidR="0069054E" w:rsidRPr="00E960C9">
        <w:rPr>
          <w:rFonts w:eastAsia="Calibri"/>
          <w:sz w:val="22"/>
          <w:szCs w:val="22"/>
        </w:rPr>
        <w:t>pension</w:t>
      </w:r>
      <w:r w:rsidRPr="00E960C9">
        <w:rPr>
          <w:rFonts w:eastAsia="Calibri"/>
          <w:sz w:val="22"/>
          <w:szCs w:val="22"/>
        </w:rPr>
        <w:t xml:space="preserve"> and social package, </w:t>
      </w:r>
      <w:r w:rsidR="0042365A" w:rsidRPr="00E960C9">
        <w:rPr>
          <w:rFonts w:eastAsia="Calibri"/>
          <w:sz w:val="22"/>
          <w:szCs w:val="22"/>
        </w:rPr>
        <w:t xml:space="preserve">pensioners and social assistance beneficiaries who </w:t>
      </w:r>
      <w:r w:rsidR="0069054E" w:rsidRPr="00E960C9">
        <w:rPr>
          <w:rFonts w:eastAsia="Calibri"/>
          <w:sz w:val="22"/>
          <w:szCs w:val="22"/>
        </w:rPr>
        <w:t>permanently</w:t>
      </w:r>
      <w:r w:rsidR="0042365A" w:rsidRPr="00E960C9">
        <w:rPr>
          <w:rFonts w:eastAsia="Calibri"/>
          <w:sz w:val="22"/>
          <w:szCs w:val="22"/>
        </w:rPr>
        <w:t xml:space="preserve"> reside in the mountainous regions receive pension/social </w:t>
      </w:r>
      <w:r w:rsidR="0069054E" w:rsidRPr="00E960C9">
        <w:rPr>
          <w:rFonts w:eastAsia="Calibri"/>
          <w:sz w:val="22"/>
          <w:szCs w:val="22"/>
        </w:rPr>
        <w:t>benefits</w:t>
      </w:r>
      <w:r w:rsidR="0042365A" w:rsidRPr="00E960C9">
        <w:rPr>
          <w:rFonts w:eastAsia="Calibri"/>
          <w:sz w:val="22"/>
          <w:szCs w:val="22"/>
        </w:rPr>
        <w:t xml:space="preserve"> with 20% surplus. </w:t>
      </w:r>
    </w:p>
    <w:p w14:paraId="74733719" w14:textId="3D4C2776" w:rsidR="006F045B" w:rsidRPr="00E960C9" w:rsidRDefault="006F045B" w:rsidP="00904117">
      <w:pPr>
        <w:spacing w:before="120" w:after="120"/>
        <w:jc w:val="both"/>
        <w:rPr>
          <w:rFonts w:eastAsia="Calibri"/>
          <w:sz w:val="22"/>
          <w:szCs w:val="22"/>
        </w:rPr>
      </w:pPr>
      <w:r w:rsidRPr="00E960C9">
        <w:rPr>
          <w:rFonts w:eastAsia="Calibri"/>
          <w:sz w:val="22"/>
          <w:szCs w:val="22"/>
        </w:rPr>
        <w:t>Beneficiaries who were born after January 1, 2016</w:t>
      </w:r>
      <w:r w:rsidR="001B08C9" w:rsidRPr="00E960C9">
        <w:rPr>
          <w:rFonts w:eastAsia="Calibri"/>
          <w:sz w:val="22"/>
          <w:szCs w:val="22"/>
        </w:rPr>
        <w:t>,</w:t>
      </w:r>
      <w:r w:rsidRPr="00E960C9">
        <w:rPr>
          <w:rFonts w:eastAsia="Calibri"/>
          <w:sz w:val="22"/>
          <w:szCs w:val="22"/>
        </w:rPr>
        <w:t xml:space="preserve"> and </w:t>
      </w:r>
      <w:proofErr w:type="gramStart"/>
      <w:r w:rsidRPr="00E960C9">
        <w:rPr>
          <w:rFonts w:eastAsia="Calibri"/>
          <w:sz w:val="22"/>
          <w:szCs w:val="22"/>
        </w:rPr>
        <w:t>whose</w:t>
      </w:r>
      <w:proofErr w:type="gramEnd"/>
      <w:r w:rsidRPr="00E960C9">
        <w:rPr>
          <w:rFonts w:eastAsia="Calibri"/>
          <w:sz w:val="22"/>
          <w:szCs w:val="22"/>
        </w:rPr>
        <w:t xml:space="preserve"> at least one parent has </w:t>
      </w:r>
      <w:r w:rsidR="001B08C9" w:rsidRPr="00E960C9">
        <w:rPr>
          <w:rFonts w:eastAsia="Calibri"/>
          <w:sz w:val="22"/>
          <w:szCs w:val="22"/>
        </w:rPr>
        <w:t xml:space="preserve">the </w:t>
      </w:r>
      <w:r w:rsidRPr="00E960C9">
        <w:rPr>
          <w:rFonts w:eastAsia="Calibri"/>
          <w:sz w:val="22"/>
          <w:szCs w:val="22"/>
        </w:rPr>
        <w:t xml:space="preserve">status </w:t>
      </w:r>
      <w:r w:rsidR="0069054E" w:rsidRPr="00E960C9">
        <w:rPr>
          <w:rFonts w:eastAsia="Calibri"/>
          <w:sz w:val="22"/>
          <w:szCs w:val="22"/>
        </w:rPr>
        <w:t>of</w:t>
      </w:r>
      <w:r w:rsidRPr="00E960C9">
        <w:rPr>
          <w:rFonts w:eastAsia="Calibri"/>
          <w:sz w:val="22"/>
          <w:szCs w:val="22"/>
        </w:rPr>
        <w:t xml:space="preserve"> a permanent resident </w:t>
      </w:r>
      <w:r w:rsidR="001B08C9" w:rsidRPr="00E960C9">
        <w:rPr>
          <w:rFonts w:eastAsia="Calibri"/>
          <w:sz w:val="22"/>
          <w:szCs w:val="22"/>
        </w:rPr>
        <w:t xml:space="preserve">in </w:t>
      </w:r>
      <w:r w:rsidRPr="00E960C9">
        <w:rPr>
          <w:rFonts w:eastAsia="Calibri"/>
          <w:sz w:val="22"/>
          <w:szCs w:val="22"/>
        </w:rPr>
        <w:t xml:space="preserve">the mountainous region, are also entitled to monetary social benefits. The benefit for the first and </w:t>
      </w:r>
      <w:r w:rsidR="0069054E" w:rsidRPr="00E960C9">
        <w:rPr>
          <w:rFonts w:eastAsia="Calibri"/>
          <w:sz w:val="22"/>
          <w:szCs w:val="22"/>
        </w:rPr>
        <w:t>second</w:t>
      </w:r>
      <w:r w:rsidRPr="00E960C9">
        <w:rPr>
          <w:rFonts w:eastAsia="Calibri"/>
          <w:sz w:val="22"/>
          <w:szCs w:val="22"/>
        </w:rPr>
        <w:t xml:space="preserve"> child amounts to 100 GEL for one year and for the third and consequent child – 200 GEL for two years. </w:t>
      </w:r>
    </w:p>
    <w:p w14:paraId="2D5A502A" w14:textId="71A9E942" w:rsidR="006F46CA" w:rsidRPr="00E960C9" w:rsidRDefault="00AA0B1C" w:rsidP="00904117">
      <w:pPr>
        <w:pStyle w:val="Heading2"/>
        <w:numPr>
          <w:ilvl w:val="0"/>
          <w:numId w:val="16"/>
        </w:numPr>
        <w:spacing w:before="120" w:after="120"/>
        <w:jc w:val="both"/>
        <w:rPr>
          <w:rFonts w:ascii="Times New Roman" w:eastAsia="Calibri" w:hAnsi="Times New Roman" w:cs="Times New Roman"/>
          <w:sz w:val="22"/>
          <w:szCs w:val="22"/>
        </w:rPr>
      </w:pPr>
      <w:bookmarkStart w:id="21" w:name="_Toc51302045"/>
      <w:r w:rsidRPr="00E960C9">
        <w:rPr>
          <w:rFonts w:ascii="Times New Roman" w:eastAsia="Calibri" w:hAnsi="Times New Roman" w:cs="Times New Roman"/>
          <w:sz w:val="22"/>
          <w:szCs w:val="22"/>
        </w:rPr>
        <w:t xml:space="preserve">Labour and </w:t>
      </w:r>
      <w:r w:rsidR="007D7AB8">
        <w:rPr>
          <w:rFonts w:ascii="Times New Roman" w:eastAsia="Calibri" w:hAnsi="Times New Roman" w:cs="Times New Roman"/>
          <w:sz w:val="22"/>
          <w:szCs w:val="22"/>
        </w:rPr>
        <w:t>e</w:t>
      </w:r>
      <w:r w:rsidRPr="00E960C9">
        <w:rPr>
          <w:rFonts w:ascii="Times New Roman" w:eastAsia="Calibri" w:hAnsi="Times New Roman" w:cs="Times New Roman"/>
          <w:sz w:val="22"/>
          <w:szCs w:val="22"/>
        </w:rPr>
        <w:t>mployment</w:t>
      </w:r>
      <w:bookmarkEnd w:id="21"/>
      <w:r w:rsidRPr="00E960C9">
        <w:rPr>
          <w:rFonts w:ascii="Times New Roman" w:eastAsia="Calibri" w:hAnsi="Times New Roman" w:cs="Times New Roman"/>
          <w:sz w:val="22"/>
          <w:szCs w:val="22"/>
        </w:rPr>
        <w:t xml:space="preserve"> </w:t>
      </w:r>
    </w:p>
    <w:p w14:paraId="5148D479" w14:textId="5EFC08A3" w:rsidR="007F56FF" w:rsidRPr="00E960C9" w:rsidRDefault="00A422CF" w:rsidP="00904117">
      <w:pPr>
        <w:spacing w:before="120" w:after="120"/>
        <w:jc w:val="both"/>
        <w:rPr>
          <w:rFonts w:eastAsia="Calibri"/>
          <w:sz w:val="22"/>
          <w:szCs w:val="22"/>
        </w:rPr>
      </w:pPr>
      <w:r w:rsidRPr="00E960C9">
        <w:rPr>
          <w:rFonts w:eastAsia="Calibri"/>
          <w:sz w:val="22"/>
          <w:szCs w:val="22"/>
        </w:rPr>
        <w:t>During</w:t>
      </w:r>
      <w:r w:rsidR="007F56FF" w:rsidRPr="00E960C9">
        <w:rPr>
          <w:rFonts w:eastAsia="Calibri"/>
          <w:sz w:val="22"/>
          <w:szCs w:val="22"/>
        </w:rPr>
        <w:t xml:space="preserve"> 2016-2015 there was </w:t>
      </w:r>
      <w:r w:rsidRPr="00E960C9">
        <w:rPr>
          <w:rFonts w:eastAsia="Calibri"/>
          <w:sz w:val="22"/>
          <w:szCs w:val="22"/>
        </w:rPr>
        <w:t>no</w:t>
      </w:r>
      <w:r w:rsidR="007F56FF" w:rsidRPr="00E960C9">
        <w:rPr>
          <w:rFonts w:eastAsia="Calibri"/>
          <w:sz w:val="22"/>
          <w:szCs w:val="22"/>
        </w:rPr>
        <w:t xml:space="preserve"> labour safety supervision body in Georgia that caused the demolition of labour safety standards and systematic problems. The non-existence of a regulatory body also resulted in the deterioration of safety conditions. </w:t>
      </w:r>
    </w:p>
    <w:p w14:paraId="720C0B7B" w14:textId="41CA028F"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In 2015, the Ministry of Internally Displaced Persons from the Occupied Territories, Labour, Health and Social Affairs of Georgia (further - the Ministry of Healthcare) created a Labour Conditions Inspection Department that is responsible for state supervision of realization of labour standards. In 2018, the Law of Georgia on Occupational Safety was adopted that became organic law in 2019. The new </w:t>
      </w:r>
      <w:r w:rsidR="009D7384" w:rsidRPr="00E960C9">
        <w:rPr>
          <w:rFonts w:eastAsia="Calibri"/>
          <w:sz w:val="22"/>
          <w:szCs w:val="22"/>
        </w:rPr>
        <w:t>L</w:t>
      </w:r>
      <w:r w:rsidRPr="00E960C9">
        <w:rPr>
          <w:rFonts w:eastAsia="Calibri"/>
          <w:sz w:val="22"/>
          <w:szCs w:val="22"/>
        </w:rPr>
        <w:t xml:space="preserve">aw improved occupational safety standards and increased the responsibility of employers. After 2019, the law </w:t>
      </w:r>
      <w:r w:rsidR="009D7384" w:rsidRPr="00E960C9">
        <w:rPr>
          <w:rFonts w:eastAsia="Calibri"/>
          <w:sz w:val="22"/>
          <w:szCs w:val="22"/>
        </w:rPr>
        <w:t>applies</w:t>
      </w:r>
      <w:r w:rsidRPr="00E960C9">
        <w:rPr>
          <w:rFonts w:eastAsia="Calibri"/>
          <w:sz w:val="22"/>
          <w:szCs w:val="22"/>
        </w:rPr>
        <w:t xml:space="preserve"> to every sector of economic activities, and an inspection authority is entitled to inspect any working space subject to inspection procedures and conduct inspections of occupational safety any time without the court permission and prior notification. </w:t>
      </w:r>
    </w:p>
    <w:p w14:paraId="5321729B" w14:textId="2240ABF8"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Since 2016 the Labour Inspection conducts recommendatory inspections for checking observance of labour rights. In February 2020, by-laws prescribed by the Law of Georgia on Occupational Safety were adopted that defined fundamental issues related to occupational safety and its implementation.  During March 24-May 15, 2020, the Ministry </w:t>
      </w:r>
      <w:r w:rsidR="00A422CF" w:rsidRPr="00E960C9">
        <w:rPr>
          <w:rFonts w:eastAsia="Calibri"/>
          <w:sz w:val="22"/>
          <w:szCs w:val="22"/>
        </w:rPr>
        <w:t>of</w:t>
      </w:r>
      <w:r w:rsidRPr="00E960C9">
        <w:rPr>
          <w:rFonts w:eastAsia="Calibri"/>
          <w:sz w:val="22"/>
          <w:szCs w:val="22"/>
        </w:rPr>
        <w:t xml:space="preserve"> Healthcare approved 19 general and sectoral recommendations in response to the new coronavirus (COVID-19) and to prevent biological threats at the workplace. </w:t>
      </w:r>
    </w:p>
    <w:p w14:paraId="45368724" w14:textId="77777777"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The 2019 legislative amendments defined employers’ obligation to observe equality of persons in contractual relations. </w:t>
      </w:r>
    </w:p>
    <w:p w14:paraId="57EB39F5" w14:textId="5081E210"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Since 2013, registration of vacancies and job seekers in the Electronic System of Labour Market Management (www.worknet.gov.ge) is actively ongoing. </w:t>
      </w:r>
    </w:p>
    <w:p w14:paraId="761B4996" w14:textId="77777777"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In 2019, the LEPL Employment Support Agency was created. Its objective is to facilitate labour and employment of the population, implement active labour market policy, including creating employment opportunities abroad. </w:t>
      </w:r>
    </w:p>
    <w:p w14:paraId="0FE2FAAD" w14:textId="77777777" w:rsidR="007F56FF" w:rsidRPr="00E960C9" w:rsidRDefault="007F56FF" w:rsidP="00904117">
      <w:pPr>
        <w:spacing w:before="120" w:after="120"/>
        <w:jc w:val="both"/>
        <w:rPr>
          <w:rFonts w:eastAsia="Calibri"/>
          <w:sz w:val="22"/>
          <w:szCs w:val="22"/>
        </w:rPr>
      </w:pPr>
      <w:r w:rsidRPr="00E960C9">
        <w:rPr>
          <w:rFonts w:eastAsia="Calibri"/>
          <w:sz w:val="22"/>
          <w:szCs w:val="22"/>
        </w:rPr>
        <w:t xml:space="preserve">In 2015 the Law on Labour Migration was adopted that regulates labour emigration from Georgia through regulation of intermediary companies and raising awareness of potential emigrants. </w:t>
      </w:r>
    </w:p>
    <w:p w14:paraId="3A243BC4" w14:textId="11B78A01" w:rsidR="007F56FF" w:rsidRPr="00E960C9" w:rsidRDefault="007F56FF" w:rsidP="00904117">
      <w:pPr>
        <w:spacing w:before="120" w:after="120"/>
        <w:jc w:val="both"/>
        <w:rPr>
          <w:rFonts w:eastAsia="Calibri"/>
          <w:sz w:val="22"/>
          <w:szCs w:val="22"/>
        </w:rPr>
      </w:pPr>
      <w:r w:rsidRPr="00E960C9">
        <w:rPr>
          <w:rFonts w:eastAsia="Calibri"/>
          <w:sz w:val="22"/>
          <w:szCs w:val="22"/>
        </w:rPr>
        <w:t>Active labour market policy (including labour migration) is the GOG priority. The GOG made some progress in the development of inter-state cooperation on labour migration and creating opportunities for temporary legal employment abroad. International treaties are being negotiated and concluded concerning legal labour migration.</w:t>
      </w:r>
    </w:p>
    <w:p w14:paraId="5F7CF5DC" w14:textId="76DCD08B" w:rsidR="00E770F4" w:rsidRPr="00E960C9" w:rsidRDefault="00CE453D" w:rsidP="00904117">
      <w:pPr>
        <w:pStyle w:val="Heading2"/>
        <w:numPr>
          <w:ilvl w:val="0"/>
          <w:numId w:val="16"/>
        </w:numPr>
        <w:spacing w:before="120" w:after="120"/>
        <w:jc w:val="both"/>
        <w:rPr>
          <w:rFonts w:ascii="Times New Roman" w:hAnsi="Times New Roman" w:cs="Times New Roman"/>
          <w:sz w:val="22"/>
          <w:szCs w:val="22"/>
        </w:rPr>
      </w:pPr>
      <w:bookmarkStart w:id="22" w:name="_Toc51302046"/>
      <w:r w:rsidRPr="00E960C9">
        <w:rPr>
          <w:rFonts w:ascii="Times New Roman" w:eastAsia="Calibri" w:hAnsi="Times New Roman" w:cs="Times New Roman"/>
          <w:sz w:val="22"/>
          <w:szCs w:val="22"/>
        </w:rPr>
        <w:t xml:space="preserve">Rights of </w:t>
      </w:r>
      <w:r w:rsidR="007D7AB8" w:rsidRPr="00E960C9">
        <w:rPr>
          <w:rFonts w:ascii="Times New Roman" w:eastAsia="Calibri" w:hAnsi="Times New Roman" w:cs="Times New Roman"/>
          <w:sz w:val="22"/>
          <w:szCs w:val="22"/>
        </w:rPr>
        <w:t>persons with disabilities</w:t>
      </w:r>
      <w:bookmarkEnd w:id="22"/>
      <w:r w:rsidR="007D7AB8" w:rsidRPr="00E960C9">
        <w:rPr>
          <w:rFonts w:ascii="Times New Roman" w:eastAsia="Calibri" w:hAnsi="Times New Roman" w:cs="Times New Roman"/>
          <w:sz w:val="22"/>
          <w:szCs w:val="22"/>
        </w:rPr>
        <w:t xml:space="preserve"> </w:t>
      </w:r>
    </w:p>
    <w:p w14:paraId="53D56544" w14:textId="6C91E35D" w:rsidR="004A4639" w:rsidRPr="00E960C9" w:rsidRDefault="004A4639" w:rsidP="00904117">
      <w:pPr>
        <w:spacing w:before="120" w:after="120"/>
        <w:jc w:val="both"/>
        <w:rPr>
          <w:rFonts w:eastAsia="Calibri"/>
          <w:sz w:val="22"/>
          <w:szCs w:val="22"/>
        </w:rPr>
      </w:pPr>
      <w:r w:rsidRPr="00E960C9">
        <w:rPr>
          <w:rFonts w:eastAsia="Calibri"/>
          <w:sz w:val="22"/>
          <w:szCs w:val="22"/>
        </w:rPr>
        <w:t xml:space="preserve">The State annually implements Social Rehabilitation and </w:t>
      </w:r>
      <w:r w:rsidR="00A422CF" w:rsidRPr="00E960C9">
        <w:rPr>
          <w:rFonts w:eastAsia="Calibri"/>
          <w:sz w:val="22"/>
          <w:szCs w:val="22"/>
        </w:rPr>
        <w:t>Child Care</w:t>
      </w:r>
      <w:r w:rsidRPr="00E960C9">
        <w:rPr>
          <w:rFonts w:eastAsia="Calibri"/>
          <w:sz w:val="22"/>
          <w:szCs w:val="22"/>
        </w:rPr>
        <w:t xml:space="preserve"> </w:t>
      </w:r>
      <w:r w:rsidR="000D5D77" w:rsidRPr="00E960C9">
        <w:rPr>
          <w:rFonts w:eastAsia="Calibri"/>
          <w:sz w:val="22"/>
          <w:szCs w:val="22"/>
        </w:rPr>
        <w:t>Programme</w:t>
      </w:r>
      <w:r w:rsidRPr="00E960C9">
        <w:rPr>
          <w:rFonts w:eastAsia="Calibri"/>
          <w:sz w:val="22"/>
          <w:szCs w:val="22"/>
        </w:rPr>
        <w:t xml:space="preserve"> aimed at persons with disabilities (</w:t>
      </w:r>
      <w:proofErr w:type="spellStart"/>
      <w:r w:rsidRPr="00E960C9">
        <w:rPr>
          <w:rFonts w:eastAsia="Calibri"/>
          <w:sz w:val="22"/>
          <w:szCs w:val="22"/>
        </w:rPr>
        <w:t>PwDs</w:t>
      </w:r>
      <w:proofErr w:type="spellEnd"/>
      <w:r w:rsidRPr="00E960C9">
        <w:rPr>
          <w:rFonts w:eastAsia="Calibri"/>
          <w:sz w:val="22"/>
          <w:szCs w:val="22"/>
        </w:rPr>
        <w:t xml:space="preserve">). The </w:t>
      </w:r>
      <w:r w:rsidR="00A422CF" w:rsidRPr="00E960C9">
        <w:rPr>
          <w:rFonts w:eastAsia="Calibri"/>
          <w:sz w:val="22"/>
          <w:szCs w:val="22"/>
        </w:rPr>
        <w:t>beneficiaries</w:t>
      </w:r>
      <w:r w:rsidRPr="00E960C9">
        <w:rPr>
          <w:rFonts w:eastAsia="Calibri"/>
          <w:sz w:val="22"/>
          <w:szCs w:val="22"/>
        </w:rPr>
        <w:t xml:space="preserve"> of the </w:t>
      </w:r>
      <w:r w:rsidR="000D5D77" w:rsidRPr="00E960C9">
        <w:rPr>
          <w:rFonts w:eastAsia="Calibri"/>
          <w:sz w:val="22"/>
          <w:szCs w:val="22"/>
        </w:rPr>
        <w:t>Programme</w:t>
      </w:r>
      <w:r w:rsidRPr="00E960C9">
        <w:rPr>
          <w:rFonts w:eastAsia="Calibri"/>
          <w:sz w:val="22"/>
          <w:szCs w:val="22"/>
        </w:rPr>
        <w:t xml:space="preserve"> have access to various available services. The </w:t>
      </w:r>
      <w:r w:rsidR="000D5D77" w:rsidRPr="00E960C9">
        <w:rPr>
          <w:rFonts w:eastAsia="Calibri"/>
          <w:sz w:val="22"/>
          <w:szCs w:val="22"/>
        </w:rPr>
        <w:t>Programme</w:t>
      </w:r>
      <w:r w:rsidRPr="00E960C9">
        <w:rPr>
          <w:rFonts w:eastAsia="Calibri"/>
          <w:sz w:val="22"/>
          <w:szCs w:val="22"/>
        </w:rPr>
        <w:t xml:space="preserve"> budget increased by 9% in 2020 and by 27% in 2019 compared to the budget of the previous year. </w:t>
      </w:r>
    </w:p>
    <w:p w14:paraId="365B25EF" w14:textId="4F786BF2" w:rsidR="004A4639" w:rsidRPr="00E960C9" w:rsidRDefault="004A4639" w:rsidP="00904117">
      <w:pPr>
        <w:spacing w:before="120" w:after="120"/>
        <w:jc w:val="both"/>
        <w:rPr>
          <w:rFonts w:eastAsia="Calibri"/>
          <w:sz w:val="22"/>
          <w:szCs w:val="22"/>
        </w:rPr>
      </w:pPr>
      <w:r w:rsidRPr="00E960C9">
        <w:rPr>
          <w:rFonts w:eastAsia="Calibri"/>
          <w:sz w:val="22"/>
          <w:szCs w:val="22"/>
        </w:rPr>
        <w:lastRenderedPageBreak/>
        <w:t xml:space="preserve">The increased budget targets promotion of deinstitutionalization process and prevention of institutionalization, provision and upgrade of services for children </w:t>
      </w:r>
      <w:r w:rsidR="00A422CF" w:rsidRPr="00E960C9">
        <w:rPr>
          <w:rFonts w:eastAsia="Calibri"/>
          <w:sz w:val="22"/>
          <w:szCs w:val="22"/>
        </w:rPr>
        <w:t>with</w:t>
      </w:r>
      <w:r w:rsidRPr="00E960C9">
        <w:rPr>
          <w:rFonts w:eastAsia="Calibri"/>
          <w:sz w:val="22"/>
          <w:szCs w:val="22"/>
        </w:rPr>
        <w:t xml:space="preserve"> disabilities and </w:t>
      </w:r>
      <w:proofErr w:type="spellStart"/>
      <w:r w:rsidRPr="00E960C9">
        <w:rPr>
          <w:rFonts w:eastAsia="Calibri"/>
          <w:sz w:val="22"/>
          <w:szCs w:val="22"/>
        </w:rPr>
        <w:t>PwDs</w:t>
      </w:r>
      <w:proofErr w:type="spellEnd"/>
      <w:r w:rsidRPr="00E960C9">
        <w:rPr>
          <w:rFonts w:eastAsia="Calibri"/>
          <w:sz w:val="22"/>
          <w:szCs w:val="22"/>
        </w:rPr>
        <w:t xml:space="preserve">, development of “families like” alternative services. </w:t>
      </w:r>
    </w:p>
    <w:p w14:paraId="53AA6039" w14:textId="31F4E6E4" w:rsidR="004A4639" w:rsidRPr="00E960C9" w:rsidRDefault="004A4639" w:rsidP="00904117">
      <w:pPr>
        <w:spacing w:before="120" w:after="120"/>
        <w:jc w:val="both"/>
        <w:rPr>
          <w:rFonts w:eastAsia="Calibri"/>
          <w:sz w:val="22"/>
          <w:szCs w:val="22"/>
        </w:rPr>
      </w:pPr>
      <w:r w:rsidRPr="00E960C9">
        <w:rPr>
          <w:rFonts w:eastAsia="Calibri"/>
          <w:sz w:val="22"/>
          <w:szCs w:val="22"/>
        </w:rPr>
        <w:t xml:space="preserve">The increased budge enabled </w:t>
      </w:r>
      <w:r w:rsidR="003D18EB" w:rsidRPr="00E960C9">
        <w:rPr>
          <w:rFonts w:eastAsia="Calibri"/>
          <w:sz w:val="22"/>
          <w:szCs w:val="22"/>
        </w:rPr>
        <w:t xml:space="preserve">the </w:t>
      </w:r>
      <w:r w:rsidRPr="00E960C9">
        <w:rPr>
          <w:rFonts w:eastAsia="Calibri"/>
          <w:sz w:val="22"/>
          <w:szCs w:val="22"/>
        </w:rPr>
        <w:t>rise of financing the services for beneficiaries. A new component was added to the Aids Provision Sub</w:t>
      </w:r>
      <w:r w:rsidR="003D18EB" w:rsidRPr="00E960C9">
        <w:rPr>
          <w:rFonts w:eastAsia="Calibri"/>
          <w:sz w:val="22"/>
          <w:szCs w:val="22"/>
        </w:rPr>
        <w:t>-</w:t>
      </w:r>
      <w:r w:rsidR="00D62FC3" w:rsidRPr="00E960C9">
        <w:rPr>
          <w:rFonts w:eastAsia="Calibri"/>
          <w:sz w:val="22"/>
          <w:szCs w:val="22"/>
        </w:rPr>
        <w:t>Programme -</w:t>
      </w:r>
      <w:r w:rsidRPr="00E960C9">
        <w:rPr>
          <w:rFonts w:eastAsia="Calibri"/>
          <w:sz w:val="22"/>
          <w:szCs w:val="22"/>
        </w:rPr>
        <w:t xml:space="preserve"> </w:t>
      </w:r>
      <w:r w:rsidR="005B5B66" w:rsidRPr="00E960C9">
        <w:rPr>
          <w:rFonts w:eastAsia="Calibri"/>
          <w:sz w:val="22"/>
          <w:szCs w:val="22"/>
        </w:rPr>
        <w:t>provision of technical equipment (smartphones) for videoconferencing for deaf and persons with hearing impairments.</w:t>
      </w:r>
      <w:r w:rsidR="005B5B66" w:rsidRPr="00E960C9" w:rsidDel="001903DE">
        <w:rPr>
          <w:rFonts w:eastAsia="Calibri"/>
          <w:sz w:val="22"/>
          <w:szCs w:val="22"/>
        </w:rPr>
        <w:t xml:space="preserve"> </w:t>
      </w:r>
    </w:p>
    <w:p w14:paraId="3A972BB9" w14:textId="33A8C1E3" w:rsidR="004A4639" w:rsidRPr="00E960C9" w:rsidRDefault="004A4639" w:rsidP="00904117">
      <w:pPr>
        <w:spacing w:before="120" w:after="120"/>
        <w:jc w:val="both"/>
        <w:rPr>
          <w:rFonts w:eastAsia="Calibri"/>
          <w:sz w:val="22"/>
          <w:szCs w:val="22"/>
        </w:rPr>
      </w:pPr>
      <w:r w:rsidRPr="00E960C9">
        <w:rPr>
          <w:rFonts w:eastAsia="Calibri"/>
          <w:sz w:val="22"/>
          <w:szCs w:val="22"/>
        </w:rPr>
        <w:t xml:space="preserve">The </w:t>
      </w:r>
      <w:r w:rsidR="00A422CF" w:rsidRPr="00E960C9">
        <w:rPr>
          <w:rFonts w:eastAsia="Calibri"/>
          <w:sz w:val="22"/>
          <w:szCs w:val="22"/>
        </w:rPr>
        <w:t>Ministry</w:t>
      </w:r>
      <w:r w:rsidRPr="00E960C9">
        <w:rPr>
          <w:rFonts w:eastAsia="Calibri"/>
          <w:sz w:val="22"/>
          <w:szCs w:val="22"/>
        </w:rPr>
        <w:t xml:space="preserve"> of Education, Science, Culture and Sports implements </w:t>
      </w:r>
      <w:r w:rsidR="00A422CF" w:rsidRPr="00E960C9">
        <w:rPr>
          <w:rFonts w:eastAsia="Calibri"/>
          <w:sz w:val="22"/>
          <w:szCs w:val="22"/>
        </w:rPr>
        <w:t>Inclusive</w:t>
      </w:r>
      <w:r w:rsidRPr="00E960C9">
        <w:rPr>
          <w:rFonts w:eastAsia="Calibri"/>
          <w:sz w:val="22"/>
          <w:szCs w:val="22"/>
        </w:rPr>
        <w:t xml:space="preserve"> Education </w:t>
      </w:r>
      <w:r w:rsidR="000D5D77" w:rsidRPr="00E960C9">
        <w:rPr>
          <w:rFonts w:eastAsia="Calibri"/>
          <w:sz w:val="22"/>
          <w:szCs w:val="22"/>
        </w:rPr>
        <w:t>Programme</w:t>
      </w:r>
      <w:r w:rsidRPr="00E960C9">
        <w:rPr>
          <w:rFonts w:eastAsia="Calibri"/>
          <w:sz w:val="22"/>
          <w:szCs w:val="22"/>
        </w:rPr>
        <w:t xml:space="preserve"> ai</w:t>
      </w:r>
      <w:r w:rsidR="00BA39A0" w:rsidRPr="00E960C9">
        <w:rPr>
          <w:rFonts w:eastAsia="Calibri"/>
          <w:sz w:val="22"/>
          <w:szCs w:val="22"/>
        </w:rPr>
        <w:t>m</w:t>
      </w:r>
      <w:r w:rsidRPr="00E960C9">
        <w:rPr>
          <w:rFonts w:eastAsia="Calibri"/>
          <w:sz w:val="22"/>
          <w:szCs w:val="22"/>
        </w:rPr>
        <w:t xml:space="preserve">ed </w:t>
      </w:r>
      <w:r w:rsidR="0060105A" w:rsidRPr="00E960C9">
        <w:rPr>
          <w:rFonts w:eastAsia="Calibri"/>
          <w:sz w:val="22"/>
          <w:szCs w:val="22"/>
        </w:rPr>
        <w:t>a</w:t>
      </w:r>
      <w:r w:rsidR="00BA39A0" w:rsidRPr="00E960C9">
        <w:rPr>
          <w:rFonts w:eastAsia="Calibri"/>
          <w:sz w:val="22"/>
          <w:szCs w:val="22"/>
        </w:rPr>
        <w:t xml:space="preserve">t creation of </w:t>
      </w:r>
      <w:r w:rsidR="009E0EAF" w:rsidRPr="00E960C9">
        <w:rPr>
          <w:rFonts w:eastAsia="Calibri"/>
          <w:sz w:val="22"/>
          <w:szCs w:val="22"/>
        </w:rPr>
        <w:t xml:space="preserve">an </w:t>
      </w:r>
      <w:r w:rsidR="00BA39A0" w:rsidRPr="00E960C9">
        <w:rPr>
          <w:rFonts w:eastAsia="Calibri"/>
          <w:sz w:val="22"/>
          <w:szCs w:val="22"/>
        </w:rPr>
        <w:t xml:space="preserve">educational environment equally accessible for pupils with different abilities. </w:t>
      </w:r>
    </w:p>
    <w:p w14:paraId="1394677B" w14:textId="5AD032C0" w:rsidR="0074400E" w:rsidRPr="00E960C9" w:rsidRDefault="00BA39A0" w:rsidP="00904117">
      <w:pPr>
        <w:spacing w:before="120" w:after="120"/>
        <w:jc w:val="both"/>
        <w:rPr>
          <w:rFonts w:eastAsia="Calibri"/>
          <w:sz w:val="22"/>
          <w:szCs w:val="22"/>
        </w:rPr>
      </w:pPr>
      <w:r w:rsidRPr="00E960C9">
        <w:rPr>
          <w:rFonts w:eastAsia="Calibri"/>
          <w:sz w:val="22"/>
          <w:szCs w:val="22"/>
        </w:rPr>
        <w:t>In 2016</w:t>
      </w:r>
      <w:r w:rsidR="005152E4">
        <w:rPr>
          <w:rFonts w:eastAsia="Calibri"/>
          <w:sz w:val="22"/>
          <w:szCs w:val="22"/>
        </w:rPr>
        <w:t>, the Parliament adopted</w:t>
      </w:r>
      <w:r w:rsidRPr="00E960C9">
        <w:rPr>
          <w:rFonts w:eastAsia="Calibri"/>
          <w:sz w:val="22"/>
          <w:szCs w:val="22"/>
        </w:rPr>
        <w:t xml:space="preserve"> the </w:t>
      </w:r>
      <w:r w:rsidR="00A422CF" w:rsidRPr="00E960C9">
        <w:rPr>
          <w:rFonts w:eastAsia="Calibri"/>
          <w:sz w:val="22"/>
          <w:szCs w:val="22"/>
        </w:rPr>
        <w:t>Law</w:t>
      </w:r>
      <w:r w:rsidRPr="00E960C9">
        <w:rPr>
          <w:rFonts w:eastAsia="Calibri"/>
          <w:sz w:val="22"/>
          <w:szCs w:val="22"/>
        </w:rPr>
        <w:t xml:space="preserve"> of Georgia on </w:t>
      </w:r>
      <w:r w:rsidR="00A422CF" w:rsidRPr="00E960C9">
        <w:rPr>
          <w:rFonts w:eastAsia="Calibri"/>
          <w:sz w:val="22"/>
          <w:szCs w:val="22"/>
        </w:rPr>
        <w:t>Early</w:t>
      </w:r>
      <w:r w:rsidRPr="00E960C9">
        <w:rPr>
          <w:rFonts w:eastAsia="Calibri"/>
          <w:sz w:val="22"/>
          <w:szCs w:val="22"/>
        </w:rPr>
        <w:t xml:space="preserve"> and Preschool Education that incorporated inclusive approaches. In 2018 the Rules on introduction, development and monitoring of inclusive education at schools, as well as Mechanism for identification of pupils with special educational needs were adopted. </w:t>
      </w:r>
    </w:p>
    <w:p w14:paraId="407B42B1" w14:textId="4E3910B2" w:rsidR="00BA39A0" w:rsidRPr="00E960C9" w:rsidRDefault="001F6474" w:rsidP="00904117">
      <w:pPr>
        <w:spacing w:before="120" w:after="120"/>
        <w:jc w:val="both"/>
        <w:rPr>
          <w:rFonts w:eastAsia="Calibri"/>
          <w:sz w:val="22"/>
          <w:szCs w:val="22"/>
        </w:rPr>
      </w:pPr>
      <w:r w:rsidRPr="00E960C9">
        <w:rPr>
          <w:rFonts w:eastAsia="Calibri"/>
          <w:sz w:val="22"/>
          <w:szCs w:val="22"/>
        </w:rPr>
        <w:t xml:space="preserve">The State implements the Programme on the Second Opportunity at Receiving Education through Social Inclusion. It targets street children, Roma, repatriates and </w:t>
      </w:r>
      <w:proofErr w:type="spellStart"/>
      <w:r w:rsidRPr="00E960C9">
        <w:rPr>
          <w:rFonts w:eastAsia="Calibri"/>
          <w:sz w:val="22"/>
          <w:szCs w:val="22"/>
        </w:rPr>
        <w:t>Meskhs</w:t>
      </w:r>
      <w:proofErr w:type="spellEnd"/>
      <w:r w:rsidRPr="00E960C9">
        <w:rPr>
          <w:rFonts w:eastAsia="Calibri"/>
          <w:sz w:val="22"/>
          <w:szCs w:val="22"/>
        </w:rPr>
        <w:t xml:space="preserve"> who do not have Georgian citizenship, children/youth and pupils with disabilities and special educational needs, and pupils who belong to other vulnerable groups. </w:t>
      </w:r>
    </w:p>
    <w:p w14:paraId="71990F7A" w14:textId="51006FEA" w:rsidR="00BA39A0" w:rsidRPr="00E960C9" w:rsidRDefault="001F6474" w:rsidP="00904117">
      <w:pPr>
        <w:spacing w:before="120" w:after="120"/>
        <w:jc w:val="both"/>
        <w:rPr>
          <w:rFonts w:eastAsia="Calibri"/>
          <w:sz w:val="22"/>
          <w:szCs w:val="22"/>
        </w:rPr>
      </w:pPr>
      <w:r w:rsidRPr="00E960C9">
        <w:rPr>
          <w:rFonts w:eastAsia="Calibri"/>
          <w:sz w:val="22"/>
          <w:szCs w:val="22"/>
        </w:rPr>
        <w:t xml:space="preserve">The higher education institutions must ensure special conditions for </w:t>
      </w:r>
      <w:proofErr w:type="spellStart"/>
      <w:r w:rsidRPr="00E960C9">
        <w:rPr>
          <w:rFonts w:eastAsia="Calibri"/>
          <w:sz w:val="22"/>
          <w:szCs w:val="22"/>
        </w:rPr>
        <w:t>PwDs</w:t>
      </w:r>
      <w:proofErr w:type="spellEnd"/>
      <w:r w:rsidRPr="00E960C9">
        <w:rPr>
          <w:rFonts w:eastAsia="Calibri"/>
          <w:sz w:val="22"/>
          <w:szCs w:val="22"/>
        </w:rPr>
        <w:t xml:space="preserve"> and persons with special needs to provide access to education. </w:t>
      </w:r>
    </w:p>
    <w:p w14:paraId="19A80A48" w14:textId="7ABCE3C9" w:rsidR="00D62FC3" w:rsidRPr="00E960C9" w:rsidRDefault="00D62FC3" w:rsidP="00904117">
      <w:pPr>
        <w:spacing w:before="120" w:after="120"/>
        <w:jc w:val="both"/>
        <w:rPr>
          <w:rFonts w:eastAsia="Calibri"/>
          <w:sz w:val="22"/>
          <w:szCs w:val="22"/>
        </w:rPr>
      </w:pPr>
      <w:r w:rsidRPr="00E960C9">
        <w:rPr>
          <w:rFonts w:eastAsia="Calibri"/>
          <w:sz w:val="22"/>
          <w:szCs w:val="22"/>
        </w:rPr>
        <w:t xml:space="preserve">To ensure participation of </w:t>
      </w:r>
      <w:proofErr w:type="spellStart"/>
      <w:r w:rsidRPr="00E960C9">
        <w:rPr>
          <w:rFonts w:eastAsia="Calibri"/>
          <w:sz w:val="22"/>
          <w:szCs w:val="22"/>
        </w:rPr>
        <w:t>PwDs</w:t>
      </w:r>
      <w:proofErr w:type="spellEnd"/>
      <w:r w:rsidRPr="00E960C9">
        <w:rPr>
          <w:rFonts w:eastAsia="Calibri"/>
          <w:sz w:val="22"/>
          <w:szCs w:val="22"/>
        </w:rPr>
        <w:t xml:space="preserve"> in the </w:t>
      </w:r>
      <w:r w:rsidR="0069054E" w:rsidRPr="00E960C9">
        <w:rPr>
          <w:rFonts w:eastAsia="Calibri"/>
          <w:sz w:val="22"/>
          <w:szCs w:val="22"/>
        </w:rPr>
        <w:t>election</w:t>
      </w:r>
      <w:r w:rsidRPr="00E960C9">
        <w:rPr>
          <w:rFonts w:eastAsia="Calibri"/>
          <w:sz w:val="22"/>
          <w:szCs w:val="22"/>
        </w:rPr>
        <w:t xml:space="preserve">, the following services were introduced: </w:t>
      </w:r>
      <w:commentRangeStart w:id="23"/>
      <w:commentRangeStart w:id="24"/>
      <w:proofErr w:type="spellStart"/>
      <w:r w:rsidRPr="00E960C9">
        <w:rPr>
          <w:rFonts w:ascii="Sylfaen" w:eastAsia="Calibri" w:hAnsi="Sylfaen" w:cs="Sylfaen"/>
          <w:sz w:val="22"/>
          <w:szCs w:val="22"/>
          <w:highlight w:val="yellow"/>
        </w:rPr>
        <w:t>შშმ</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ყველა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საარჩევნო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უბანზე</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უსინათლო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ამომრჩევლებისთვის</w:t>
      </w:r>
      <w:proofErr w:type="spellEnd"/>
      <w:r w:rsidRPr="00E960C9">
        <w:rPr>
          <w:rFonts w:eastAsia="Calibri"/>
          <w:sz w:val="22"/>
          <w:szCs w:val="22"/>
          <w:highlight w:val="yellow"/>
        </w:rPr>
        <w:t xml:space="preserve"> – </w:t>
      </w:r>
      <w:proofErr w:type="spellStart"/>
      <w:r w:rsidRPr="00E960C9">
        <w:rPr>
          <w:rFonts w:ascii="Sylfaen" w:eastAsia="Calibri" w:hAnsi="Sylfaen" w:cs="Sylfaen"/>
          <w:sz w:val="22"/>
          <w:szCs w:val="22"/>
          <w:highlight w:val="yellow"/>
        </w:rPr>
        <w:t>საარჩევნო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ბიულეტენის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შესავსები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ჩარჩო</w:t>
      </w:r>
      <w:proofErr w:type="spellEnd"/>
      <w:r w:rsidRPr="00E960C9">
        <w:rPr>
          <w:rFonts w:eastAsia="Calibri"/>
          <w:sz w:val="22"/>
          <w:szCs w:val="22"/>
          <w:highlight w:val="yellow"/>
        </w:rPr>
        <w:t>/</w:t>
      </w:r>
      <w:proofErr w:type="spellStart"/>
      <w:r w:rsidRPr="00E960C9">
        <w:rPr>
          <w:rFonts w:ascii="Sylfaen" w:eastAsia="Calibri" w:hAnsi="Sylfaen" w:cs="Sylfaen"/>
          <w:sz w:val="22"/>
          <w:szCs w:val="22"/>
          <w:highlight w:val="yellow"/>
        </w:rPr>
        <w:t>ფორმა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მცირემხედველი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ამომრჩევლებისათვის</w:t>
      </w:r>
      <w:proofErr w:type="spellEnd"/>
      <w:r w:rsidRPr="00E960C9">
        <w:rPr>
          <w:rFonts w:eastAsia="Calibri"/>
          <w:sz w:val="22"/>
          <w:szCs w:val="22"/>
          <w:highlight w:val="yellow"/>
        </w:rPr>
        <w:t xml:space="preserve"> – </w:t>
      </w:r>
      <w:proofErr w:type="spellStart"/>
      <w:r w:rsidRPr="00E960C9">
        <w:rPr>
          <w:rFonts w:ascii="Sylfaen" w:eastAsia="Calibri" w:hAnsi="Sylfaen" w:cs="Sylfaen"/>
          <w:sz w:val="22"/>
          <w:szCs w:val="22"/>
          <w:highlight w:val="yellow"/>
        </w:rPr>
        <w:t>გამადიდებელი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ლინზა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ყრუ</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მხარდამჭერის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მიმღები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პირებისთვის</w:t>
      </w:r>
      <w:proofErr w:type="spellEnd"/>
      <w:r w:rsidRPr="00E960C9">
        <w:rPr>
          <w:rFonts w:eastAsia="Calibri"/>
          <w:sz w:val="22"/>
          <w:szCs w:val="22"/>
          <w:highlight w:val="yellow"/>
        </w:rPr>
        <w:t xml:space="preserve"> – </w:t>
      </w:r>
      <w:proofErr w:type="spellStart"/>
      <w:r w:rsidRPr="00E960C9">
        <w:rPr>
          <w:rFonts w:ascii="Sylfaen" w:eastAsia="Calibri" w:hAnsi="Sylfaen" w:cs="Sylfaen"/>
          <w:sz w:val="22"/>
          <w:szCs w:val="22"/>
          <w:highlight w:val="yellow"/>
        </w:rPr>
        <w:t>კენჭისყრაში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მონაწილეობის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ამსახველი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პოსტერი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ადაპტირებულ</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საარჩევნო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უბნებზე</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ეტლით</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მოსარგებლე</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ამომრჩევლებისთვის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განთავსებული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იყო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სპეციალური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ხმის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მიცემის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კაბინა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საოლქო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და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საუბნო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საარჩევნო</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კომისიის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წევრები</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გადამზადდნენ</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შშმ</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ამომრჩევლებთან</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საუბრის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ეტიკეტისა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და</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ქცევის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ნორმების</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დაცვასთან</w:t>
      </w:r>
      <w:proofErr w:type="spellEnd"/>
      <w:r w:rsidRPr="00E960C9">
        <w:rPr>
          <w:rFonts w:eastAsia="Calibri"/>
          <w:sz w:val="22"/>
          <w:szCs w:val="22"/>
          <w:highlight w:val="yellow"/>
        </w:rPr>
        <w:t xml:space="preserve"> </w:t>
      </w:r>
      <w:proofErr w:type="spellStart"/>
      <w:r w:rsidRPr="00E960C9">
        <w:rPr>
          <w:rFonts w:ascii="Sylfaen" w:eastAsia="Calibri" w:hAnsi="Sylfaen" w:cs="Sylfaen"/>
          <w:sz w:val="22"/>
          <w:szCs w:val="22"/>
          <w:highlight w:val="yellow"/>
        </w:rPr>
        <w:t>დაკავშირებით</w:t>
      </w:r>
      <w:proofErr w:type="spellEnd"/>
      <w:r w:rsidRPr="00E960C9">
        <w:rPr>
          <w:rFonts w:eastAsia="Calibri"/>
          <w:sz w:val="22"/>
          <w:szCs w:val="22"/>
          <w:highlight w:val="yellow"/>
        </w:rPr>
        <w:t>.</w:t>
      </w:r>
      <w:r w:rsidRPr="00E960C9">
        <w:rPr>
          <w:rFonts w:eastAsia="Calibri"/>
          <w:sz w:val="22"/>
          <w:szCs w:val="22"/>
        </w:rPr>
        <w:t xml:space="preserve"> </w:t>
      </w:r>
      <w:commentRangeEnd w:id="23"/>
      <w:r w:rsidR="00DF3E41">
        <w:rPr>
          <w:rStyle w:val="CommentReference"/>
        </w:rPr>
        <w:commentReference w:id="23"/>
      </w:r>
      <w:commentRangeEnd w:id="24"/>
      <w:r w:rsidR="00F02EF5">
        <w:rPr>
          <w:rStyle w:val="CommentReference"/>
        </w:rPr>
        <w:commentReference w:id="24"/>
      </w:r>
    </w:p>
    <w:p w14:paraId="33BD6099" w14:textId="3D22F0D6" w:rsidR="00F006CF" w:rsidRPr="00E960C9" w:rsidRDefault="00F006CF" w:rsidP="00904117">
      <w:pPr>
        <w:spacing w:before="120" w:after="120"/>
        <w:jc w:val="both"/>
        <w:rPr>
          <w:rFonts w:eastAsia="Calibri"/>
          <w:sz w:val="22"/>
          <w:szCs w:val="22"/>
        </w:rPr>
      </w:pPr>
      <w:r w:rsidRPr="00E960C9">
        <w:rPr>
          <w:rFonts w:eastAsia="Calibri"/>
          <w:sz w:val="22"/>
          <w:szCs w:val="22"/>
        </w:rPr>
        <w:t xml:space="preserve">During the elections in 2015-2019, the Central Election Commission’s information videos included sign language translation to ensure </w:t>
      </w:r>
      <w:r w:rsidR="00A422CF" w:rsidRPr="00E960C9">
        <w:rPr>
          <w:rFonts w:eastAsia="Calibri"/>
          <w:sz w:val="22"/>
          <w:szCs w:val="22"/>
        </w:rPr>
        <w:t>access</w:t>
      </w:r>
      <w:r w:rsidRPr="00E960C9">
        <w:rPr>
          <w:rFonts w:eastAsia="Calibri"/>
          <w:sz w:val="22"/>
          <w:szCs w:val="22"/>
        </w:rPr>
        <w:t xml:space="preserve"> </w:t>
      </w:r>
      <w:r w:rsidR="00A422CF" w:rsidRPr="00E960C9">
        <w:rPr>
          <w:rFonts w:eastAsia="Calibri"/>
          <w:sz w:val="22"/>
          <w:szCs w:val="22"/>
        </w:rPr>
        <w:t>to</w:t>
      </w:r>
      <w:r w:rsidRPr="00E960C9">
        <w:rPr>
          <w:rFonts w:eastAsia="Calibri"/>
          <w:sz w:val="22"/>
          <w:szCs w:val="22"/>
        </w:rPr>
        <w:t xml:space="preserve"> information for </w:t>
      </w:r>
      <w:proofErr w:type="spellStart"/>
      <w:r w:rsidRPr="00E960C9">
        <w:rPr>
          <w:rFonts w:eastAsia="Calibri"/>
          <w:sz w:val="22"/>
          <w:szCs w:val="22"/>
        </w:rPr>
        <w:t>PwD</w:t>
      </w:r>
      <w:proofErr w:type="spellEnd"/>
      <w:r w:rsidRPr="00E960C9">
        <w:rPr>
          <w:rFonts w:eastAsia="Calibri"/>
          <w:sz w:val="22"/>
          <w:szCs w:val="22"/>
        </w:rPr>
        <w:t xml:space="preserve"> voters. </w:t>
      </w:r>
    </w:p>
    <w:p w14:paraId="73EF5FA5" w14:textId="0225A719" w:rsidR="00F006CF" w:rsidRPr="00E960C9" w:rsidRDefault="00F006CF" w:rsidP="00904117">
      <w:pPr>
        <w:spacing w:before="120" w:after="120"/>
        <w:jc w:val="both"/>
        <w:rPr>
          <w:rFonts w:eastAsia="Calibri"/>
          <w:sz w:val="22"/>
          <w:szCs w:val="22"/>
        </w:rPr>
      </w:pPr>
      <w:r w:rsidRPr="00E960C9">
        <w:rPr>
          <w:rFonts w:eastAsia="Calibri"/>
          <w:sz w:val="22"/>
          <w:szCs w:val="22"/>
        </w:rPr>
        <w:t>Political/</w:t>
      </w:r>
      <w:proofErr w:type="spellStart"/>
      <w:r w:rsidR="00A422CF" w:rsidRPr="00E960C9">
        <w:rPr>
          <w:rFonts w:eastAsia="Calibri"/>
          <w:sz w:val="22"/>
          <w:szCs w:val="22"/>
        </w:rPr>
        <w:t>prelection</w:t>
      </w:r>
      <w:proofErr w:type="spellEnd"/>
      <w:r w:rsidRPr="00E960C9">
        <w:rPr>
          <w:rFonts w:eastAsia="Calibri"/>
          <w:sz w:val="22"/>
          <w:szCs w:val="22"/>
        </w:rPr>
        <w:t xml:space="preserve"> videos of political parties were broadcasted with sign language translation on Public Broadcaster. </w:t>
      </w:r>
    </w:p>
    <w:p w14:paraId="2A697F85" w14:textId="18D24EEF" w:rsidR="00F006CF" w:rsidRPr="00E960C9" w:rsidRDefault="00F006CF" w:rsidP="00904117">
      <w:pPr>
        <w:spacing w:before="120" w:after="120"/>
        <w:jc w:val="both"/>
        <w:rPr>
          <w:rFonts w:eastAsia="Calibri"/>
          <w:sz w:val="22"/>
          <w:szCs w:val="22"/>
        </w:rPr>
      </w:pPr>
      <w:r w:rsidRPr="00E960C9">
        <w:rPr>
          <w:rFonts w:eastAsia="Calibri"/>
          <w:sz w:val="22"/>
          <w:szCs w:val="22"/>
        </w:rPr>
        <w:t>In 2015-2019, 28 projects of NGOs were financed with the total budget 830,576</w:t>
      </w:r>
      <w:r w:rsidR="00DD1855" w:rsidRPr="00E960C9">
        <w:rPr>
          <w:rFonts w:eastAsia="Calibri"/>
          <w:sz w:val="22"/>
          <w:szCs w:val="22"/>
        </w:rPr>
        <w:t xml:space="preserve"> GEL</w:t>
      </w:r>
      <w:r w:rsidRPr="00E960C9">
        <w:rPr>
          <w:rFonts w:eastAsia="Calibri"/>
          <w:sz w:val="22"/>
          <w:szCs w:val="22"/>
        </w:rPr>
        <w:t xml:space="preserve"> to facilitate </w:t>
      </w:r>
      <w:r w:rsidR="001F6474" w:rsidRPr="00E960C9">
        <w:rPr>
          <w:rFonts w:eastAsia="Calibri"/>
          <w:sz w:val="22"/>
          <w:szCs w:val="22"/>
        </w:rPr>
        <w:t xml:space="preserve">the </w:t>
      </w:r>
      <w:r w:rsidRPr="00E960C9">
        <w:rPr>
          <w:rFonts w:eastAsia="Calibri"/>
          <w:sz w:val="22"/>
          <w:szCs w:val="22"/>
        </w:rPr>
        <w:t xml:space="preserve">participation of </w:t>
      </w:r>
      <w:proofErr w:type="spellStart"/>
      <w:r w:rsidRPr="00E960C9">
        <w:rPr>
          <w:rFonts w:eastAsia="Calibri"/>
          <w:sz w:val="22"/>
          <w:szCs w:val="22"/>
        </w:rPr>
        <w:t>PwDs</w:t>
      </w:r>
      <w:proofErr w:type="spellEnd"/>
      <w:r w:rsidRPr="00E960C9">
        <w:rPr>
          <w:rFonts w:eastAsia="Calibri"/>
          <w:sz w:val="22"/>
          <w:szCs w:val="22"/>
        </w:rPr>
        <w:t xml:space="preserve"> in the elections. </w:t>
      </w:r>
    </w:p>
    <w:p w14:paraId="6D45060A" w14:textId="577C0456" w:rsidR="00F006CF" w:rsidRPr="00E960C9" w:rsidRDefault="00F006CF" w:rsidP="00904117">
      <w:pPr>
        <w:spacing w:before="120" w:after="120"/>
        <w:jc w:val="both"/>
        <w:rPr>
          <w:rFonts w:eastAsia="Calibri"/>
          <w:sz w:val="22"/>
          <w:szCs w:val="22"/>
        </w:rPr>
      </w:pPr>
      <w:r w:rsidRPr="00E960C9">
        <w:rPr>
          <w:rFonts w:eastAsia="Calibri"/>
          <w:sz w:val="22"/>
          <w:szCs w:val="22"/>
        </w:rPr>
        <w:t xml:space="preserve">In 2015-2018, 42 </w:t>
      </w:r>
      <w:proofErr w:type="spellStart"/>
      <w:r w:rsidRPr="00E960C9">
        <w:rPr>
          <w:rFonts w:eastAsia="Calibri"/>
          <w:sz w:val="22"/>
          <w:szCs w:val="22"/>
        </w:rPr>
        <w:t>PwDs</w:t>
      </w:r>
      <w:proofErr w:type="spellEnd"/>
      <w:r w:rsidRPr="00E960C9">
        <w:rPr>
          <w:rFonts w:eastAsia="Calibri"/>
          <w:sz w:val="22"/>
          <w:szCs w:val="22"/>
        </w:rPr>
        <w:t xml:space="preserve"> were employed in the Central Election Commission. The latter supported </w:t>
      </w:r>
      <w:proofErr w:type="spellStart"/>
      <w:r w:rsidRPr="00E960C9">
        <w:rPr>
          <w:rFonts w:eastAsia="Calibri"/>
          <w:sz w:val="22"/>
          <w:szCs w:val="22"/>
        </w:rPr>
        <w:t>PwDs</w:t>
      </w:r>
      <w:proofErr w:type="spellEnd"/>
      <w:r w:rsidRPr="00E960C9">
        <w:rPr>
          <w:rFonts w:eastAsia="Calibri"/>
          <w:sz w:val="22"/>
          <w:szCs w:val="22"/>
        </w:rPr>
        <w:t xml:space="preserve"> to upgrade their qualifications for the relevant positions.  </w:t>
      </w:r>
    </w:p>
    <w:p w14:paraId="7DEDFBA0" w14:textId="68961CDB" w:rsidR="001F6474" w:rsidRPr="00E960C9" w:rsidRDefault="001F6474" w:rsidP="00904117">
      <w:pPr>
        <w:spacing w:before="120" w:after="120"/>
        <w:jc w:val="both"/>
        <w:rPr>
          <w:rFonts w:eastAsia="Calibri"/>
          <w:sz w:val="22"/>
          <w:szCs w:val="22"/>
        </w:rPr>
      </w:pPr>
      <w:r w:rsidRPr="00E960C9">
        <w:rPr>
          <w:rFonts w:eastAsia="Calibri"/>
          <w:sz w:val="22"/>
          <w:szCs w:val="22"/>
        </w:rPr>
        <w:t>The LEPL House of Justice (</w:t>
      </w:r>
      <w:proofErr w:type="spellStart"/>
      <w:r w:rsidRPr="00E960C9">
        <w:rPr>
          <w:rFonts w:eastAsia="Calibri"/>
          <w:sz w:val="22"/>
          <w:szCs w:val="22"/>
        </w:rPr>
        <w:t>HoJ</w:t>
      </w:r>
      <w:proofErr w:type="spellEnd"/>
      <w:r w:rsidRPr="00E960C9">
        <w:rPr>
          <w:rFonts w:eastAsia="Calibri"/>
          <w:sz w:val="22"/>
          <w:szCs w:val="22"/>
        </w:rPr>
        <w:t xml:space="preserve">) that is the state service provider introduced standards for the provision of services to </w:t>
      </w:r>
      <w:proofErr w:type="spellStart"/>
      <w:r w:rsidRPr="00E960C9">
        <w:rPr>
          <w:rFonts w:eastAsia="Calibri"/>
          <w:sz w:val="22"/>
          <w:szCs w:val="22"/>
        </w:rPr>
        <w:t>PwDs</w:t>
      </w:r>
      <w:proofErr w:type="spellEnd"/>
      <w:r w:rsidRPr="00E960C9">
        <w:rPr>
          <w:rFonts w:eastAsia="Calibri"/>
          <w:sz w:val="22"/>
          <w:szCs w:val="22"/>
        </w:rPr>
        <w:t xml:space="preserve">. The </w:t>
      </w:r>
      <w:proofErr w:type="spellStart"/>
      <w:r w:rsidRPr="00E960C9">
        <w:rPr>
          <w:rFonts w:eastAsia="Calibri"/>
          <w:sz w:val="22"/>
          <w:szCs w:val="22"/>
        </w:rPr>
        <w:t>HoJ</w:t>
      </w:r>
      <w:proofErr w:type="spellEnd"/>
      <w:r w:rsidRPr="00E960C9">
        <w:rPr>
          <w:rFonts w:eastAsia="Calibri"/>
          <w:sz w:val="22"/>
          <w:szCs w:val="22"/>
        </w:rPr>
        <w:t xml:space="preserve"> branches have special ramps. New signs for 400 terms were invented to facilitate access to </w:t>
      </w:r>
      <w:proofErr w:type="spellStart"/>
      <w:r w:rsidRPr="00E960C9">
        <w:rPr>
          <w:rFonts w:eastAsia="Calibri"/>
          <w:sz w:val="22"/>
          <w:szCs w:val="22"/>
        </w:rPr>
        <w:t>HoJ</w:t>
      </w:r>
      <w:proofErr w:type="spellEnd"/>
      <w:r w:rsidRPr="00E960C9">
        <w:rPr>
          <w:rFonts w:eastAsia="Calibri"/>
          <w:sz w:val="22"/>
          <w:szCs w:val="22"/>
        </w:rPr>
        <w:t xml:space="preserve"> services for the deaf and persons with hearing impairment. Ninety-three employees of </w:t>
      </w:r>
      <w:proofErr w:type="spellStart"/>
      <w:r w:rsidRPr="00E960C9">
        <w:rPr>
          <w:rFonts w:eastAsia="Calibri"/>
          <w:sz w:val="22"/>
          <w:szCs w:val="22"/>
        </w:rPr>
        <w:t>HoJ</w:t>
      </w:r>
      <w:proofErr w:type="spellEnd"/>
      <w:r w:rsidRPr="00E960C9">
        <w:rPr>
          <w:rFonts w:eastAsia="Calibri"/>
          <w:sz w:val="22"/>
          <w:szCs w:val="22"/>
        </w:rPr>
        <w:t xml:space="preserve"> learned sign language and can provide services to the deaf and persons with hearing impairment without the assistance of sign language interpreters. </w:t>
      </w:r>
      <w:proofErr w:type="spellStart"/>
      <w:r w:rsidRPr="00E960C9">
        <w:rPr>
          <w:rFonts w:eastAsia="Calibri"/>
          <w:sz w:val="22"/>
          <w:szCs w:val="22"/>
        </w:rPr>
        <w:t>HoJ</w:t>
      </w:r>
      <w:proofErr w:type="spellEnd"/>
      <w:r w:rsidRPr="00E960C9">
        <w:rPr>
          <w:rFonts w:eastAsia="Calibri"/>
          <w:sz w:val="22"/>
          <w:szCs w:val="22"/>
        </w:rPr>
        <w:t xml:space="preserve"> in Tbilisi is adapted to the needs of blind and persons with visual impairment. The websites of the </w:t>
      </w:r>
      <w:proofErr w:type="spellStart"/>
      <w:r w:rsidRPr="00E960C9">
        <w:rPr>
          <w:rFonts w:eastAsia="Calibri"/>
          <w:sz w:val="22"/>
          <w:szCs w:val="22"/>
        </w:rPr>
        <w:t>HoJ</w:t>
      </w:r>
      <w:proofErr w:type="spellEnd"/>
      <w:r w:rsidRPr="00E960C9">
        <w:rPr>
          <w:rFonts w:eastAsia="Calibri"/>
          <w:sz w:val="22"/>
          <w:szCs w:val="22"/>
        </w:rPr>
        <w:t>, Community Centres and Public Service Delivery Agency were also adapted to the needs of blind and persons with visual impairment.</w:t>
      </w:r>
    </w:p>
    <w:p w14:paraId="59147592" w14:textId="0D49998C" w:rsidR="00F421F1" w:rsidRPr="00E960C9" w:rsidRDefault="00F421F1" w:rsidP="00904117">
      <w:pPr>
        <w:spacing w:before="120" w:after="120"/>
        <w:jc w:val="both"/>
        <w:rPr>
          <w:rFonts w:eastAsia="Calibri"/>
          <w:sz w:val="22"/>
          <w:szCs w:val="22"/>
        </w:rPr>
      </w:pPr>
      <w:r w:rsidRPr="00E960C9">
        <w:rPr>
          <w:rFonts w:eastAsia="Calibri"/>
          <w:sz w:val="22"/>
          <w:szCs w:val="22"/>
        </w:rPr>
        <w:t>According to</w:t>
      </w:r>
      <w:r w:rsidR="00C44505" w:rsidRPr="00E960C9">
        <w:rPr>
          <w:rFonts w:eastAsia="Calibri"/>
          <w:sz w:val="22"/>
          <w:szCs w:val="22"/>
        </w:rPr>
        <w:t xml:space="preserve"> the</w:t>
      </w:r>
      <w:r w:rsidRPr="00E960C9">
        <w:rPr>
          <w:rFonts w:eastAsia="Calibri"/>
          <w:sz w:val="22"/>
          <w:szCs w:val="22"/>
        </w:rPr>
        <w:t xml:space="preserve"> 2015 legislative amendments, socially vulnerable </w:t>
      </w:r>
      <w:proofErr w:type="spellStart"/>
      <w:r w:rsidRPr="00E960C9">
        <w:rPr>
          <w:rFonts w:eastAsia="Calibri"/>
          <w:sz w:val="22"/>
          <w:szCs w:val="22"/>
        </w:rPr>
        <w:t>PwDs</w:t>
      </w:r>
      <w:proofErr w:type="spellEnd"/>
      <w:r w:rsidRPr="00E960C9">
        <w:rPr>
          <w:rFonts w:eastAsia="Calibri"/>
          <w:sz w:val="22"/>
          <w:szCs w:val="22"/>
        </w:rPr>
        <w:t xml:space="preserve"> have access to free legal aid in civil and administrative cases provides the case is complex and significant. Access to free legal aid in criminal cases was guaranteed even before the amendments. </w:t>
      </w:r>
    </w:p>
    <w:p w14:paraId="13AB004F" w14:textId="0E8F826C" w:rsidR="00D85D2E" w:rsidRPr="00E960C9" w:rsidRDefault="001F6474" w:rsidP="00904117">
      <w:pPr>
        <w:spacing w:before="120" w:after="120"/>
        <w:jc w:val="both"/>
        <w:rPr>
          <w:rFonts w:eastAsia="Calibri"/>
          <w:sz w:val="22"/>
          <w:szCs w:val="22"/>
        </w:rPr>
      </w:pPr>
      <w:r w:rsidRPr="00E960C9">
        <w:rPr>
          <w:rFonts w:eastAsia="Calibri"/>
          <w:sz w:val="22"/>
          <w:szCs w:val="22"/>
        </w:rPr>
        <w:lastRenderedPageBreak/>
        <w:t>According to the 2015 amendments, the appointment of a lawyer for a person in need of psychosocial support is mandatory during the court proceedings on granting the status of a beneficiary of support.</w:t>
      </w:r>
      <w:r w:rsidR="00C44505" w:rsidRPr="00E960C9">
        <w:rPr>
          <w:rFonts w:eastAsia="Calibri"/>
          <w:sz w:val="22"/>
          <w:szCs w:val="22"/>
        </w:rPr>
        <w:t xml:space="preserve"> </w:t>
      </w:r>
      <w:r w:rsidRPr="00E960C9">
        <w:rPr>
          <w:rFonts w:eastAsia="Calibri"/>
          <w:sz w:val="22"/>
          <w:szCs w:val="22"/>
        </w:rPr>
        <w:t xml:space="preserve">The </w:t>
      </w:r>
      <w:r w:rsidR="00C44505" w:rsidRPr="00E960C9">
        <w:rPr>
          <w:rFonts w:eastAsia="Calibri"/>
          <w:sz w:val="22"/>
          <w:szCs w:val="22"/>
        </w:rPr>
        <w:t xml:space="preserve">Legal Aid Service </w:t>
      </w:r>
      <w:r w:rsidR="0069054E" w:rsidRPr="00E960C9">
        <w:rPr>
          <w:rFonts w:eastAsia="Calibri"/>
          <w:sz w:val="22"/>
          <w:szCs w:val="22"/>
        </w:rPr>
        <w:t>provides free</w:t>
      </w:r>
      <w:r w:rsidRPr="00E960C9">
        <w:rPr>
          <w:rFonts w:eastAsia="Calibri"/>
          <w:sz w:val="22"/>
          <w:szCs w:val="22"/>
        </w:rPr>
        <w:t xml:space="preserve"> </w:t>
      </w:r>
      <w:r w:rsidR="00C44505" w:rsidRPr="00E960C9">
        <w:rPr>
          <w:rFonts w:eastAsia="Calibri"/>
          <w:sz w:val="22"/>
          <w:szCs w:val="22"/>
        </w:rPr>
        <w:t xml:space="preserve">legal aid to them.  </w:t>
      </w:r>
    </w:p>
    <w:p w14:paraId="369AE93B" w14:textId="6DA393D7" w:rsidR="002F0024" w:rsidRPr="00E960C9" w:rsidRDefault="002F0024" w:rsidP="00904117">
      <w:pPr>
        <w:spacing w:before="120" w:after="120"/>
        <w:jc w:val="both"/>
        <w:rPr>
          <w:rFonts w:eastAsia="Calibri"/>
          <w:sz w:val="22"/>
          <w:szCs w:val="22"/>
        </w:rPr>
      </w:pPr>
      <w:proofErr w:type="spellStart"/>
      <w:r w:rsidRPr="00E960C9">
        <w:rPr>
          <w:rFonts w:eastAsia="Calibri"/>
          <w:sz w:val="22"/>
          <w:szCs w:val="22"/>
        </w:rPr>
        <w:t>PwDs</w:t>
      </w:r>
      <w:proofErr w:type="spellEnd"/>
      <w:r w:rsidRPr="00E960C9">
        <w:rPr>
          <w:rFonts w:eastAsia="Calibri"/>
          <w:sz w:val="22"/>
          <w:szCs w:val="22"/>
        </w:rPr>
        <w:t xml:space="preserve">, disabled </w:t>
      </w:r>
      <w:r w:rsidR="00A422CF" w:rsidRPr="00E960C9">
        <w:rPr>
          <w:rFonts w:eastAsia="Calibri"/>
          <w:sz w:val="22"/>
          <w:szCs w:val="22"/>
        </w:rPr>
        <w:t>persons’</w:t>
      </w:r>
      <w:r w:rsidRPr="00E960C9">
        <w:rPr>
          <w:rFonts w:eastAsia="Calibri"/>
          <w:sz w:val="22"/>
          <w:szCs w:val="22"/>
        </w:rPr>
        <w:t xml:space="preserve">’ </w:t>
      </w:r>
      <w:r w:rsidR="00C0157F" w:rsidRPr="00E960C9">
        <w:rPr>
          <w:rFonts w:eastAsia="Calibri"/>
          <w:sz w:val="22"/>
          <w:szCs w:val="22"/>
        </w:rPr>
        <w:t>organisation</w:t>
      </w:r>
      <w:r w:rsidRPr="00E960C9">
        <w:rPr>
          <w:rFonts w:eastAsia="Calibri"/>
          <w:sz w:val="22"/>
          <w:szCs w:val="22"/>
        </w:rPr>
        <w:t>s, their establishments, educational-</w:t>
      </w:r>
      <w:r w:rsidR="00A422CF" w:rsidRPr="00E960C9">
        <w:rPr>
          <w:rFonts w:eastAsia="Calibri"/>
          <w:sz w:val="22"/>
          <w:szCs w:val="22"/>
        </w:rPr>
        <w:t>entrepreneurial</w:t>
      </w:r>
      <w:r w:rsidRPr="00E960C9">
        <w:rPr>
          <w:rFonts w:eastAsia="Calibri"/>
          <w:sz w:val="22"/>
          <w:szCs w:val="22"/>
        </w:rPr>
        <w:t xml:space="preserve"> </w:t>
      </w:r>
      <w:r w:rsidR="00C0157F" w:rsidRPr="00E960C9">
        <w:rPr>
          <w:rFonts w:eastAsia="Calibri"/>
          <w:sz w:val="22"/>
          <w:szCs w:val="22"/>
        </w:rPr>
        <w:t>organisation</w:t>
      </w:r>
      <w:r w:rsidRPr="00E960C9">
        <w:rPr>
          <w:rFonts w:eastAsia="Calibri"/>
          <w:sz w:val="22"/>
          <w:szCs w:val="22"/>
        </w:rPr>
        <w:t xml:space="preserve">s and unions are </w:t>
      </w:r>
      <w:r w:rsidR="00A422CF" w:rsidRPr="00E960C9">
        <w:rPr>
          <w:rFonts w:eastAsia="Calibri"/>
          <w:sz w:val="22"/>
          <w:szCs w:val="22"/>
        </w:rPr>
        <w:t>exempted</w:t>
      </w:r>
      <w:r w:rsidRPr="00E960C9">
        <w:rPr>
          <w:rFonts w:eastAsia="Calibri"/>
          <w:sz w:val="22"/>
          <w:szCs w:val="22"/>
        </w:rPr>
        <w:t xml:space="preserve"> from any state duties. </w:t>
      </w:r>
    </w:p>
    <w:p w14:paraId="50B60BFD" w14:textId="356CBB3A" w:rsidR="002F0024" w:rsidRPr="00E960C9" w:rsidRDefault="00DD407D" w:rsidP="00904117">
      <w:pPr>
        <w:spacing w:before="120" w:after="120"/>
        <w:jc w:val="both"/>
        <w:rPr>
          <w:rFonts w:eastAsia="Calibri"/>
          <w:sz w:val="22"/>
          <w:szCs w:val="22"/>
        </w:rPr>
      </w:pPr>
      <w:r w:rsidRPr="00E960C9">
        <w:rPr>
          <w:rFonts w:eastAsia="Calibri"/>
          <w:sz w:val="22"/>
          <w:szCs w:val="22"/>
        </w:rPr>
        <w:t xml:space="preserve">Since 2015 the Department for the Protection the Rights of Persons with Disabilities operates at the PDO. A Consultative Council </w:t>
      </w:r>
      <w:r w:rsidR="00252AD3" w:rsidRPr="00E960C9">
        <w:rPr>
          <w:rFonts w:eastAsia="Calibri"/>
          <w:sz w:val="22"/>
          <w:szCs w:val="22"/>
        </w:rPr>
        <w:t xml:space="preserve">with representatives of PDO, </w:t>
      </w:r>
      <w:proofErr w:type="spellStart"/>
      <w:r w:rsidR="00252AD3" w:rsidRPr="00E960C9">
        <w:rPr>
          <w:rFonts w:eastAsia="Calibri"/>
          <w:sz w:val="22"/>
          <w:szCs w:val="22"/>
        </w:rPr>
        <w:t>PwDs</w:t>
      </w:r>
      <w:proofErr w:type="spellEnd"/>
      <w:r w:rsidR="00252AD3" w:rsidRPr="00E960C9">
        <w:rPr>
          <w:rFonts w:eastAsia="Calibri"/>
          <w:sz w:val="22"/>
          <w:szCs w:val="22"/>
        </w:rPr>
        <w:t xml:space="preserve">, </w:t>
      </w:r>
      <w:r w:rsidR="00C0157F" w:rsidRPr="00E960C9">
        <w:rPr>
          <w:rFonts w:eastAsia="Calibri"/>
          <w:sz w:val="22"/>
          <w:szCs w:val="22"/>
        </w:rPr>
        <w:t>organisation</w:t>
      </w:r>
      <w:r w:rsidR="00252AD3" w:rsidRPr="00E960C9">
        <w:rPr>
          <w:rFonts w:eastAsia="Calibri"/>
          <w:sz w:val="22"/>
          <w:szCs w:val="22"/>
        </w:rPr>
        <w:t xml:space="preserve">s working on rights of </w:t>
      </w:r>
      <w:proofErr w:type="spellStart"/>
      <w:r w:rsidR="00252AD3" w:rsidRPr="00E960C9">
        <w:rPr>
          <w:rFonts w:eastAsia="Calibri"/>
          <w:sz w:val="22"/>
          <w:szCs w:val="22"/>
        </w:rPr>
        <w:t>PwDs</w:t>
      </w:r>
      <w:proofErr w:type="spellEnd"/>
      <w:r w:rsidR="00252AD3" w:rsidRPr="00E960C9">
        <w:rPr>
          <w:rFonts w:eastAsia="Calibri"/>
          <w:sz w:val="22"/>
          <w:szCs w:val="22"/>
        </w:rPr>
        <w:t xml:space="preserve"> and international </w:t>
      </w:r>
      <w:r w:rsidR="00C0157F" w:rsidRPr="00E960C9">
        <w:rPr>
          <w:rFonts w:eastAsia="Calibri"/>
          <w:sz w:val="22"/>
          <w:szCs w:val="22"/>
        </w:rPr>
        <w:t>organisation</w:t>
      </w:r>
      <w:r w:rsidR="00A422CF" w:rsidRPr="00E960C9">
        <w:rPr>
          <w:rFonts w:eastAsia="Calibri"/>
          <w:sz w:val="22"/>
          <w:szCs w:val="22"/>
        </w:rPr>
        <w:t>s</w:t>
      </w:r>
      <w:r w:rsidR="00252AD3" w:rsidRPr="00E960C9">
        <w:rPr>
          <w:rFonts w:eastAsia="Calibri"/>
          <w:sz w:val="22"/>
          <w:szCs w:val="22"/>
        </w:rPr>
        <w:t xml:space="preserve"> also </w:t>
      </w:r>
      <w:r w:rsidR="00A422CF" w:rsidRPr="00E960C9">
        <w:rPr>
          <w:rFonts w:eastAsia="Calibri"/>
          <w:sz w:val="22"/>
          <w:szCs w:val="22"/>
        </w:rPr>
        <w:t>operate</w:t>
      </w:r>
      <w:r w:rsidR="001F6474" w:rsidRPr="00E960C9">
        <w:rPr>
          <w:rFonts w:eastAsia="Calibri"/>
          <w:sz w:val="22"/>
          <w:szCs w:val="22"/>
        </w:rPr>
        <w:t>s</w:t>
      </w:r>
      <w:r w:rsidR="00252AD3" w:rsidRPr="00E960C9">
        <w:rPr>
          <w:rFonts w:eastAsia="Calibri"/>
          <w:sz w:val="22"/>
          <w:szCs w:val="22"/>
        </w:rPr>
        <w:t xml:space="preserve"> under the PDO. </w:t>
      </w:r>
    </w:p>
    <w:p w14:paraId="0BF5A564" w14:textId="3D6BE052" w:rsidR="00252AD3" w:rsidRPr="00E960C9" w:rsidRDefault="00252AD3" w:rsidP="00904117">
      <w:pPr>
        <w:spacing w:before="120" w:after="120"/>
        <w:jc w:val="both"/>
        <w:rPr>
          <w:rFonts w:eastAsia="Calibri"/>
          <w:sz w:val="22"/>
          <w:szCs w:val="22"/>
        </w:rPr>
      </w:pPr>
      <w:r w:rsidRPr="00E960C9">
        <w:rPr>
          <w:rFonts w:eastAsia="Calibri"/>
          <w:sz w:val="22"/>
          <w:szCs w:val="22"/>
        </w:rPr>
        <w:t xml:space="preserve">Coordination Councils working on </w:t>
      </w:r>
      <w:proofErr w:type="spellStart"/>
      <w:r w:rsidRPr="00E960C9">
        <w:rPr>
          <w:rFonts w:eastAsia="Calibri"/>
          <w:sz w:val="22"/>
          <w:szCs w:val="22"/>
        </w:rPr>
        <w:t>PwDs</w:t>
      </w:r>
      <w:proofErr w:type="spellEnd"/>
      <w:r w:rsidRPr="00E960C9">
        <w:rPr>
          <w:rFonts w:eastAsia="Calibri"/>
          <w:sz w:val="22"/>
          <w:szCs w:val="22"/>
        </w:rPr>
        <w:t xml:space="preserve"> related issues were also created at the local self-governments (municipalities). </w:t>
      </w:r>
    </w:p>
    <w:p w14:paraId="78EB4FA2" w14:textId="5546B019" w:rsidR="0079578C" w:rsidRPr="00E960C9" w:rsidRDefault="0079578C" w:rsidP="00904117">
      <w:pPr>
        <w:spacing w:before="120" w:after="120"/>
        <w:jc w:val="both"/>
        <w:rPr>
          <w:rFonts w:eastAsia="Calibri"/>
          <w:sz w:val="22"/>
          <w:szCs w:val="22"/>
        </w:rPr>
      </w:pPr>
      <w:r w:rsidRPr="00E960C9">
        <w:rPr>
          <w:rFonts w:eastAsia="Calibri"/>
          <w:sz w:val="22"/>
          <w:szCs w:val="22"/>
        </w:rPr>
        <w:t xml:space="preserve">In 2016 Georgia submitted the Initial Report on the implementation of the Convention on the Rights of Persons with Disabilities. </w:t>
      </w:r>
    </w:p>
    <w:p w14:paraId="2C93B132" w14:textId="4EF368A1" w:rsidR="0079578C" w:rsidRPr="00E960C9" w:rsidRDefault="0079578C" w:rsidP="00904117">
      <w:pPr>
        <w:spacing w:before="120" w:after="120"/>
        <w:jc w:val="both"/>
        <w:rPr>
          <w:rFonts w:eastAsia="Calibri"/>
          <w:sz w:val="22"/>
          <w:szCs w:val="22"/>
        </w:rPr>
      </w:pPr>
      <w:commentRangeStart w:id="25"/>
      <w:commentRangeStart w:id="26"/>
      <w:r w:rsidRPr="00E960C9">
        <w:rPr>
          <w:rFonts w:eastAsia="Calibri"/>
          <w:sz w:val="22"/>
          <w:szCs w:val="22"/>
        </w:rPr>
        <w:t>In early 2020 the GOG submitted a draft Law on Rights of Persons with Disabilities</w:t>
      </w:r>
      <w:r w:rsidR="00326865" w:rsidRPr="00E960C9">
        <w:rPr>
          <w:rFonts w:eastAsia="Calibri"/>
          <w:sz w:val="22"/>
          <w:szCs w:val="22"/>
        </w:rPr>
        <w:t xml:space="preserve"> that ensures effective incorporation of the UN Convention on the Rights of Persons with Disabilities into the Georgian </w:t>
      </w:r>
      <w:commentRangeEnd w:id="25"/>
      <w:commentRangeEnd w:id="26"/>
      <w:r w:rsidR="00A422CF" w:rsidRPr="00E960C9">
        <w:rPr>
          <w:rFonts w:eastAsia="Calibri"/>
          <w:sz w:val="22"/>
          <w:szCs w:val="22"/>
        </w:rPr>
        <w:t>legislation</w:t>
      </w:r>
      <w:r w:rsidR="00326865" w:rsidRPr="00E960C9">
        <w:rPr>
          <w:rStyle w:val="CommentReference"/>
          <w:sz w:val="22"/>
          <w:szCs w:val="22"/>
        </w:rPr>
        <w:commentReference w:id="25"/>
      </w:r>
      <w:r w:rsidR="00D91E7D">
        <w:rPr>
          <w:rStyle w:val="CommentReference"/>
        </w:rPr>
        <w:commentReference w:id="26"/>
      </w:r>
      <w:r w:rsidR="00326865" w:rsidRPr="00E960C9">
        <w:rPr>
          <w:rFonts w:eastAsia="Calibri"/>
          <w:sz w:val="22"/>
          <w:szCs w:val="22"/>
        </w:rPr>
        <w:t xml:space="preserve">. </w:t>
      </w:r>
    </w:p>
    <w:p w14:paraId="3BE23669" w14:textId="5B014967" w:rsidR="0027159D" w:rsidRPr="00E960C9" w:rsidRDefault="001F6474" w:rsidP="0069054E">
      <w:pPr>
        <w:spacing w:before="120" w:after="120"/>
        <w:jc w:val="both"/>
        <w:rPr>
          <w:rFonts w:eastAsia="Calibri"/>
          <w:sz w:val="22"/>
          <w:szCs w:val="22"/>
        </w:rPr>
      </w:pPr>
      <w:r w:rsidRPr="00E960C9">
        <w:rPr>
          <w:rFonts w:eastAsia="Calibri"/>
          <w:sz w:val="22"/>
          <w:szCs w:val="22"/>
        </w:rPr>
        <w:t xml:space="preserve">The Law provides creation of a national mechanism that will ensure the realisation of healthcare, educational, employment, social, political and economic rights of </w:t>
      </w:r>
      <w:proofErr w:type="spellStart"/>
      <w:r w:rsidRPr="00E960C9">
        <w:rPr>
          <w:rFonts w:eastAsia="Calibri"/>
          <w:sz w:val="22"/>
          <w:szCs w:val="22"/>
        </w:rPr>
        <w:t>PwDs</w:t>
      </w:r>
      <w:proofErr w:type="spellEnd"/>
      <w:r w:rsidRPr="00E960C9">
        <w:rPr>
          <w:rFonts w:eastAsia="Calibri"/>
          <w:sz w:val="22"/>
          <w:szCs w:val="22"/>
        </w:rPr>
        <w:t xml:space="preserve">, as well as issues related to civil integration, full integration of and full access to all services for </w:t>
      </w:r>
      <w:proofErr w:type="spellStart"/>
      <w:r w:rsidRPr="00E960C9">
        <w:rPr>
          <w:rFonts w:eastAsia="Calibri"/>
          <w:sz w:val="22"/>
          <w:szCs w:val="22"/>
        </w:rPr>
        <w:t>PwDs</w:t>
      </w:r>
      <w:proofErr w:type="spellEnd"/>
      <w:r w:rsidRPr="00E960C9">
        <w:rPr>
          <w:rFonts w:eastAsia="Calibri"/>
          <w:sz w:val="22"/>
          <w:szCs w:val="22"/>
        </w:rPr>
        <w:t xml:space="preserve"> based on the universal principle of equality. </w:t>
      </w:r>
    </w:p>
    <w:p w14:paraId="4F4268DA" w14:textId="0037D5CE" w:rsidR="00E770F4" w:rsidRPr="00E960C9" w:rsidRDefault="00BD617C" w:rsidP="00904117">
      <w:pPr>
        <w:pStyle w:val="Heading2"/>
        <w:numPr>
          <w:ilvl w:val="0"/>
          <w:numId w:val="16"/>
        </w:numPr>
        <w:spacing w:before="120" w:after="120"/>
        <w:jc w:val="both"/>
        <w:rPr>
          <w:rFonts w:ascii="Times New Roman" w:hAnsi="Times New Roman" w:cs="Times New Roman"/>
          <w:sz w:val="22"/>
          <w:szCs w:val="22"/>
        </w:rPr>
      </w:pPr>
      <w:bookmarkStart w:id="27" w:name="_Toc51302047"/>
      <w:r>
        <w:rPr>
          <w:rFonts w:ascii="Times New Roman" w:eastAsia="Calibri" w:hAnsi="Times New Roman" w:cs="Times New Roman"/>
          <w:sz w:val="22"/>
          <w:szCs w:val="22"/>
        </w:rPr>
        <w:t xml:space="preserve">Internally </w:t>
      </w:r>
      <w:r w:rsidR="007D7AB8">
        <w:rPr>
          <w:rFonts w:ascii="Times New Roman" w:eastAsia="Calibri" w:hAnsi="Times New Roman" w:cs="Times New Roman"/>
          <w:sz w:val="22"/>
          <w:szCs w:val="22"/>
        </w:rPr>
        <w:t>d</w:t>
      </w:r>
      <w:r>
        <w:rPr>
          <w:rFonts w:ascii="Times New Roman" w:eastAsia="Calibri" w:hAnsi="Times New Roman" w:cs="Times New Roman"/>
          <w:sz w:val="22"/>
          <w:szCs w:val="22"/>
        </w:rPr>
        <w:t xml:space="preserve">isplaced </w:t>
      </w:r>
      <w:r w:rsidR="007D7AB8">
        <w:rPr>
          <w:rFonts w:ascii="Times New Roman" w:eastAsia="Calibri" w:hAnsi="Times New Roman" w:cs="Times New Roman"/>
          <w:sz w:val="22"/>
          <w:szCs w:val="22"/>
        </w:rPr>
        <w:t>p</w:t>
      </w:r>
      <w:r>
        <w:rPr>
          <w:rFonts w:ascii="Times New Roman" w:eastAsia="Calibri" w:hAnsi="Times New Roman" w:cs="Times New Roman"/>
          <w:sz w:val="22"/>
          <w:szCs w:val="22"/>
        </w:rPr>
        <w:t>ersons</w:t>
      </w:r>
      <w:bookmarkEnd w:id="27"/>
      <w:r>
        <w:rPr>
          <w:rFonts w:ascii="Times New Roman" w:eastAsia="Calibri" w:hAnsi="Times New Roman" w:cs="Times New Roman"/>
          <w:sz w:val="22"/>
          <w:szCs w:val="22"/>
        </w:rPr>
        <w:t xml:space="preserve"> </w:t>
      </w:r>
    </w:p>
    <w:p w14:paraId="12A5DC25" w14:textId="0D5AB54A" w:rsidR="00223D84" w:rsidRPr="00E960C9" w:rsidRDefault="00E56B8E" w:rsidP="00904117">
      <w:pPr>
        <w:spacing w:before="120" w:after="120"/>
        <w:jc w:val="both"/>
        <w:rPr>
          <w:rFonts w:eastAsia="Calibri"/>
          <w:sz w:val="22"/>
          <w:szCs w:val="22"/>
        </w:rPr>
      </w:pPr>
      <w:r w:rsidRPr="00E960C9">
        <w:rPr>
          <w:rFonts w:eastAsia="Calibri"/>
          <w:sz w:val="22"/>
          <w:szCs w:val="22"/>
        </w:rPr>
        <w:t>The GOG committed to protect</w:t>
      </w:r>
      <w:r w:rsidR="001F6474" w:rsidRPr="00E960C9">
        <w:rPr>
          <w:rFonts w:eastAsia="Calibri"/>
          <w:sz w:val="22"/>
          <w:szCs w:val="22"/>
        </w:rPr>
        <w:t>ing the</w:t>
      </w:r>
      <w:r w:rsidRPr="00E960C9">
        <w:rPr>
          <w:rFonts w:eastAsia="Calibri"/>
          <w:sz w:val="22"/>
          <w:szCs w:val="22"/>
        </w:rPr>
        <w:t xml:space="preserve"> rights of internally displaced </w:t>
      </w:r>
      <w:r w:rsidR="00A422CF" w:rsidRPr="00E960C9">
        <w:rPr>
          <w:rFonts w:eastAsia="Calibri"/>
          <w:sz w:val="22"/>
          <w:szCs w:val="22"/>
        </w:rPr>
        <w:t>persons</w:t>
      </w:r>
      <w:r w:rsidRPr="00E960C9">
        <w:rPr>
          <w:rFonts w:eastAsia="Calibri"/>
          <w:sz w:val="22"/>
          <w:szCs w:val="22"/>
        </w:rPr>
        <w:t xml:space="preserve"> (IDPs)</w:t>
      </w:r>
      <w:r w:rsidR="005F6294" w:rsidRPr="00E960C9">
        <w:rPr>
          <w:rFonts w:eastAsia="Calibri"/>
          <w:sz w:val="22"/>
          <w:szCs w:val="22"/>
        </w:rPr>
        <w:t xml:space="preserve"> during the whole duration of their </w:t>
      </w:r>
      <w:r w:rsidR="00A422CF" w:rsidRPr="00E960C9">
        <w:rPr>
          <w:rFonts w:eastAsia="Calibri"/>
          <w:sz w:val="22"/>
          <w:szCs w:val="22"/>
        </w:rPr>
        <w:t>displacement</w:t>
      </w:r>
      <w:r w:rsidR="005F6294" w:rsidRPr="00E960C9">
        <w:rPr>
          <w:rFonts w:eastAsia="Calibri"/>
          <w:sz w:val="22"/>
          <w:szCs w:val="22"/>
        </w:rPr>
        <w:t xml:space="preserve">, also facilitate their integration and long-term solution of their </w:t>
      </w:r>
      <w:r w:rsidR="00A422CF" w:rsidRPr="00E960C9">
        <w:rPr>
          <w:rFonts w:eastAsia="Calibri"/>
          <w:sz w:val="22"/>
          <w:szCs w:val="22"/>
        </w:rPr>
        <w:t>needs</w:t>
      </w:r>
      <w:r w:rsidR="005F6294" w:rsidRPr="00E960C9">
        <w:rPr>
          <w:rFonts w:eastAsia="Calibri"/>
          <w:sz w:val="22"/>
          <w:szCs w:val="22"/>
        </w:rPr>
        <w:t xml:space="preserve">/problems. </w:t>
      </w:r>
    </w:p>
    <w:p w14:paraId="7A021576" w14:textId="0B9DAFDF" w:rsidR="001F6474" w:rsidRPr="00E960C9" w:rsidRDefault="001F6474" w:rsidP="001F6474">
      <w:pPr>
        <w:spacing w:before="120" w:after="120"/>
        <w:jc w:val="both"/>
        <w:rPr>
          <w:rFonts w:eastAsia="Calibri"/>
          <w:sz w:val="22"/>
          <w:szCs w:val="22"/>
        </w:rPr>
      </w:pPr>
      <w:r w:rsidRPr="00E960C9">
        <w:rPr>
          <w:rFonts w:eastAsia="Calibri"/>
          <w:sz w:val="22"/>
          <w:szCs w:val="22"/>
        </w:rPr>
        <w:t xml:space="preserve">Since 2015 the State Strategy and Action Plan on IDPs were updated several times. The changes addressed the programmes on long-term solutions for the housing of IDPs, </w:t>
      </w:r>
      <w:r w:rsidR="0069054E" w:rsidRPr="00E960C9">
        <w:rPr>
          <w:rFonts w:eastAsia="Calibri"/>
          <w:sz w:val="22"/>
          <w:szCs w:val="22"/>
        </w:rPr>
        <w:t>and 9,973</w:t>
      </w:r>
      <w:r w:rsidRPr="00E960C9">
        <w:rPr>
          <w:rFonts w:eastAsia="Calibri"/>
          <w:sz w:val="22"/>
          <w:szCs w:val="22"/>
        </w:rPr>
        <w:t xml:space="preserve"> IDP families received accommodation. The spaces lawfully owned by 15,608 IDP families were legalised.  The IDPs were able to choose their housing locations in the administrative entities where they already lived and were adapted to the environment. </w:t>
      </w:r>
    </w:p>
    <w:p w14:paraId="40DA806C" w14:textId="4EA7E4F7" w:rsidR="00BE2E43" w:rsidRPr="00E960C9" w:rsidRDefault="001F6474" w:rsidP="001F6474">
      <w:pPr>
        <w:spacing w:before="120" w:after="120"/>
        <w:jc w:val="both"/>
        <w:rPr>
          <w:rFonts w:eastAsia="Calibri"/>
          <w:sz w:val="22"/>
          <w:szCs w:val="22"/>
        </w:rPr>
      </w:pPr>
      <w:r w:rsidRPr="00E960C9">
        <w:rPr>
          <w:rFonts w:eastAsia="Calibri"/>
          <w:sz w:val="22"/>
          <w:szCs w:val="22"/>
        </w:rPr>
        <w:t xml:space="preserve">Since 2015 the GOG launched Programme for providing temporary housing for IDP families. The beneficiaries receive financial support for accommodation rent. 4,500 IDP families benefited from this Programme. Besides, more than 600 buildings inhabited by IDPs were rehabilitated. </w:t>
      </w:r>
    </w:p>
    <w:p w14:paraId="5AD5CDE9" w14:textId="3B70BA1B" w:rsidR="00D62FC3" w:rsidRPr="00E960C9" w:rsidRDefault="009D3B5B" w:rsidP="00904117">
      <w:pPr>
        <w:spacing w:before="120" w:after="120"/>
        <w:jc w:val="both"/>
        <w:rPr>
          <w:rFonts w:eastAsia="Calibri"/>
          <w:sz w:val="22"/>
          <w:szCs w:val="22"/>
        </w:rPr>
      </w:pPr>
      <w:r w:rsidRPr="00E960C9">
        <w:rPr>
          <w:rFonts w:eastAsia="Calibri"/>
          <w:sz w:val="22"/>
          <w:szCs w:val="22"/>
        </w:rPr>
        <w:t>Since 2015, the IDP families who purchased houses with a mortgage receive one-time financial aid if the purchase is their only property</w:t>
      </w:r>
      <w:r w:rsidR="00662A5E" w:rsidRPr="00E960C9">
        <w:rPr>
          <w:rFonts w:eastAsia="Calibri"/>
          <w:sz w:val="22"/>
          <w:szCs w:val="22"/>
        </w:rPr>
        <w:t xml:space="preserve">. In 2019 two new </w:t>
      </w:r>
      <w:r w:rsidR="000D5D77" w:rsidRPr="00E960C9">
        <w:rPr>
          <w:rFonts w:eastAsia="Calibri"/>
          <w:sz w:val="22"/>
          <w:szCs w:val="22"/>
        </w:rPr>
        <w:t>Programme</w:t>
      </w:r>
      <w:r w:rsidR="00662A5E" w:rsidRPr="00E960C9">
        <w:rPr>
          <w:rFonts w:eastAsia="Calibri"/>
          <w:sz w:val="22"/>
          <w:szCs w:val="22"/>
        </w:rPr>
        <w:t xml:space="preserve">s were launched: </w:t>
      </w:r>
      <w:r w:rsidR="00D62FC3" w:rsidRPr="00E960C9">
        <w:rPr>
          <w:rFonts w:eastAsia="Calibri"/>
          <w:sz w:val="22"/>
          <w:szCs w:val="22"/>
        </w:rPr>
        <w:t xml:space="preserve">transfer of </w:t>
      </w:r>
      <w:r w:rsidR="0069054E" w:rsidRPr="00E960C9">
        <w:rPr>
          <w:rFonts w:eastAsia="Calibri"/>
          <w:sz w:val="22"/>
          <w:szCs w:val="22"/>
        </w:rPr>
        <w:t>apartments</w:t>
      </w:r>
      <w:r w:rsidR="00D62FC3" w:rsidRPr="00E960C9">
        <w:rPr>
          <w:rFonts w:eastAsia="Calibri"/>
          <w:sz w:val="22"/>
          <w:szCs w:val="22"/>
        </w:rPr>
        <w:t xml:space="preserve"> in Tbilisi to IDP veterans’ families and co-financing of housing for IDP families registered in Tbilisi.  </w:t>
      </w:r>
    </w:p>
    <w:p w14:paraId="5D51F762" w14:textId="6F9369EC" w:rsidR="00662A5E" w:rsidRPr="00E960C9" w:rsidRDefault="00662A5E" w:rsidP="00904117">
      <w:pPr>
        <w:spacing w:before="120" w:after="120"/>
        <w:jc w:val="both"/>
        <w:rPr>
          <w:rFonts w:eastAsia="Calibri"/>
          <w:sz w:val="22"/>
          <w:szCs w:val="22"/>
        </w:rPr>
      </w:pPr>
      <w:r w:rsidRPr="00E960C9">
        <w:rPr>
          <w:rFonts w:eastAsia="Calibri"/>
          <w:sz w:val="22"/>
          <w:szCs w:val="22"/>
        </w:rPr>
        <w:t xml:space="preserve">At this stage, the State has already provided housing to 45% of the IDP population. </w:t>
      </w:r>
    </w:p>
    <w:p w14:paraId="22667EE8" w14:textId="307F8B4D" w:rsidR="00662A5E" w:rsidRPr="00E960C9" w:rsidRDefault="00662A5E" w:rsidP="00904117">
      <w:pPr>
        <w:spacing w:before="120" w:after="120"/>
        <w:jc w:val="both"/>
        <w:rPr>
          <w:rFonts w:eastAsia="Calibri"/>
          <w:sz w:val="22"/>
          <w:szCs w:val="22"/>
        </w:rPr>
      </w:pPr>
      <w:r w:rsidRPr="00E960C9">
        <w:rPr>
          <w:rFonts w:eastAsia="Calibri"/>
          <w:sz w:val="22"/>
          <w:szCs w:val="22"/>
        </w:rPr>
        <w:t xml:space="preserve">To protect </w:t>
      </w:r>
      <w:r w:rsidR="009D3B5B" w:rsidRPr="00E960C9">
        <w:rPr>
          <w:rFonts w:eastAsia="Calibri"/>
          <w:sz w:val="22"/>
          <w:szCs w:val="22"/>
        </w:rPr>
        <w:t xml:space="preserve">the IDPs’ </w:t>
      </w:r>
      <w:r w:rsidRPr="00E960C9">
        <w:rPr>
          <w:rFonts w:eastAsia="Calibri"/>
          <w:sz w:val="22"/>
          <w:szCs w:val="22"/>
        </w:rPr>
        <w:t>property rights, around 70,000 immovable property was registered on the occupied territories. Now IDPs have the document</w:t>
      </w:r>
      <w:r w:rsidR="009D3B5B" w:rsidRPr="00E960C9">
        <w:rPr>
          <w:rFonts w:eastAsia="Calibri"/>
          <w:sz w:val="22"/>
          <w:szCs w:val="22"/>
        </w:rPr>
        <w:t>s</w:t>
      </w:r>
      <w:r w:rsidRPr="00E960C9">
        <w:rPr>
          <w:rFonts w:eastAsia="Calibri"/>
          <w:sz w:val="22"/>
          <w:szCs w:val="22"/>
        </w:rPr>
        <w:t xml:space="preserve"> certifying their right on </w:t>
      </w:r>
      <w:r w:rsidR="009D3B5B" w:rsidRPr="00E960C9">
        <w:rPr>
          <w:rFonts w:eastAsia="Calibri"/>
          <w:sz w:val="22"/>
          <w:szCs w:val="22"/>
        </w:rPr>
        <w:t xml:space="preserve">the </w:t>
      </w:r>
      <w:r w:rsidRPr="00E960C9">
        <w:rPr>
          <w:rFonts w:eastAsia="Calibri"/>
          <w:sz w:val="22"/>
          <w:szCs w:val="22"/>
        </w:rPr>
        <w:t xml:space="preserve">property. </w:t>
      </w:r>
    </w:p>
    <w:p w14:paraId="316C0677" w14:textId="2D38699F" w:rsidR="00662A5E" w:rsidRPr="00E960C9" w:rsidRDefault="00662A5E" w:rsidP="00904117">
      <w:pPr>
        <w:spacing w:before="120" w:after="120"/>
        <w:jc w:val="both"/>
        <w:rPr>
          <w:rFonts w:eastAsia="Calibri"/>
          <w:sz w:val="22"/>
          <w:szCs w:val="22"/>
        </w:rPr>
      </w:pPr>
      <w:r w:rsidRPr="00E960C9">
        <w:rPr>
          <w:rFonts w:eastAsia="Calibri"/>
          <w:sz w:val="22"/>
          <w:szCs w:val="22"/>
        </w:rPr>
        <w:t xml:space="preserve">The LEPL Livelihood Agency financed 2,000 IDP families since 2016. </w:t>
      </w:r>
    </w:p>
    <w:p w14:paraId="4603379C" w14:textId="33832E91" w:rsidR="00322B60" w:rsidRPr="00E960C9" w:rsidRDefault="00322B60" w:rsidP="00904117">
      <w:pPr>
        <w:spacing w:before="120" w:after="120"/>
        <w:jc w:val="both"/>
        <w:rPr>
          <w:rFonts w:eastAsia="Calibri"/>
          <w:sz w:val="22"/>
          <w:szCs w:val="22"/>
        </w:rPr>
      </w:pPr>
      <w:r w:rsidRPr="00E960C9">
        <w:rPr>
          <w:rFonts w:eastAsia="Calibri"/>
          <w:sz w:val="22"/>
          <w:szCs w:val="22"/>
        </w:rPr>
        <w:t xml:space="preserve">In 2015-2019, the budget of grants/subsidies </w:t>
      </w:r>
      <w:r w:rsidR="000D5D77" w:rsidRPr="00E960C9">
        <w:rPr>
          <w:rFonts w:eastAsia="Calibri"/>
          <w:sz w:val="22"/>
          <w:szCs w:val="22"/>
        </w:rPr>
        <w:t>Programme</w:t>
      </w:r>
      <w:r w:rsidRPr="00E960C9">
        <w:rPr>
          <w:rFonts w:eastAsia="Calibri"/>
          <w:sz w:val="22"/>
          <w:szCs w:val="22"/>
        </w:rPr>
        <w:t xml:space="preserve"> </w:t>
      </w:r>
      <w:r w:rsidR="005A2FB7">
        <w:rPr>
          <w:rFonts w:eastAsia="Calibri"/>
          <w:sz w:val="22"/>
          <w:szCs w:val="22"/>
        </w:rPr>
        <w:t xml:space="preserve">targeting </w:t>
      </w:r>
      <w:r w:rsidR="001B08C9" w:rsidRPr="00E960C9">
        <w:rPr>
          <w:rFonts w:eastAsia="Calibri"/>
          <w:sz w:val="22"/>
          <w:szCs w:val="22"/>
        </w:rPr>
        <w:t xml:space="preserve">the </w:t>
      </w:r>
      <w:r w:rsidRPr="00E960C9">
        <w:rPr>
          <w:rFonts w:eastAsia="Calibri"/>
          <w:sz w:val="22"/>
          <w:szCs w:val="22"/>
        </w:rPr>
        <w:t>needs of IDP</w:t>
      </w:r>
      <w:r w:rsidR="00EE0C9E" w:rsidRPr="00E960C9">
        <w:rPr>
          <w:rFonts w:eastAsia="Calibri"/>
          <w:sz w:val="22"/>
          <w:szCs w:val="22"/>
        </w:rPr>
        <w:t>s</w:t>
      </w:r>
      <w:r w:rsidR="00A422CF" w:rsidRPr="00E960C9">
        <w:rPr>
          <w:rFonts w:eastAsia="Calibri"/>
          <w:sz w:val="22"/>
          <w:szCs w:val="22"/>
        </w:rPr>
        <w:t xml:space="preserve"> </w:t>
      </w:r>
      <w:r w:rsidRPr="00E960C9">
        <w:rPr>
          <w:rFonts w:eastAsia="Calibri"/>
          <w:sz w:val="22"/>
          <w:szCs w:val="22"/>
        </w:rPr>
        <w:t>was 2,300,000</w:t>
      </w:r>
      <w:r w:rsidR="00DD1855" w:rsidRPr="00E960C9">
        <w:rPr>
          <w:rFonts w:eastAsia="Calibri"/>
          <w:sz w:val="22"/>
          <w:szCs w:val="22"/>
        </w:rPr>
        <w:t xml:space="preserve"> GEL</w:t>
      </w:r>
      <w:r w:rsidRPr="00E960C9">
        <w:rPr>
          <w:rFonts w:eastAsia="Calibri"/>
          <w:sz w:val="22"/>
          <w:szCs w:val="22"/>
        </w:rPr>
        <w:t>.</w:t>
      </w:r>
    </w:p>
    <w:p w14:paraId="7155F81E" w14:textId="734A5A20" w:rsidR="00130CF9" w:rsidRPr="00E960C9" w:rsidRDefault="00484329" w:rsidP="00904117">
      <w:pPr>
        <w:spacing w:before="120" w:after="120"/>
        <w:jc w:val="both"/>
        <w:rPr>
          <w:rFonts w:eastAsia="Calibri"/>
          <w:b/>
          <w:bCs/>
          <w:sz w:val="22"/>
          <w:szCs w:val="22"/>
        </w:rPr>
      </w:pPr>
      <w:r w:rsidRPr="00E960C9">
        <w:rPr>
          <w:rFonts w:eastAsia="Calibri"/>
          <w:sz w:val="22"/>
          <w:szCs w:val="22"/>
        </w:rPr>
        <w:t xml:space="preserve">It is voluntary to </w:t>
      </w:r>
      <w:r w:rsidR="00EE0C9E" w:rsidRPr="00E960C9">
        <w:rPr>
          <w:rFonts w:eastAsia="Calibri"/>
          <w:sz w:val="22"/>
          <w:szCs w:val="22"/>
        </w:rPr>
        <w:t>acquire</w:t>
      </w:r>
      <w:r w:rsidR="00EA000E" w:rsidRPr="00E960C9">
        <w:rPr>
          <w:rFonts w:eastAsia="Calibri"/>
          <w:sz w:val="22"/>
          <w:szCs w:val="22"/>
        </w:rPr>
        <w:t xml:space="preserve"> the status of IDP</w:t>
      </w:r>
      <w:r w:rsidR="009D3B5B" w:rsidRPr="00E960C9">
        <w:rPr>
          <w:rFonts w:eastAsia="Calibri"/>
          <w:sz w:val="22"/>
          <w:szCs w:val="22"/>
        </w:rPr>
        <w:t>,</w:t>
      </w:r>
      <w:r w:rsidR="00EA000E" w:rsidRPr="00E960C9">
        <w:rPr>
          <w:rFonts w:eastAsia="Calibri"/>
          <w:sz w:val="22"/>
          <w:szCs w:val="22"/>
        </w:rPr>
        <w:t xml:space="preserve"> and they have full rights granted to the citizens of Georgia. </w:t>
      </w:r>
    </w:p>
    <w:p w14:paraId="03794DD1" w14:textId="5EA68508" w:rsidR="00130CF9" w:rsidRPr="00E960C9" w:rsidRDefault="00EA000E" w:rsidP="00904117">
      <w:pPr>
        <w:pStyle w:val="Heading2"/>
        <w:numPr>
          <w:ilvl w:val="0"/>
          <w:numId w:val="16"/>
        </w:numPr>
        <w:spacing w:before="120" w:after="120"/>
        <w:jc w:val="both"/>
        <w:rPr>
          <w:rFonts w:ascii="Times New Roman" w:eastAsia="Calibri" w:hAnsi="Times New Roman" w:cs="Times New Roman"/>
          <w:sz w:val="22"/>
          <w:szCs w:val="22"/>
        </w:rPr>
      </w:pPr>
      <w:bookmarkStart w:id="28" w:name="_Toc51302048"/>
      <w:r w:rsidRPr="00E960C9">
        <w:rPr>
          <w:rFonts w:ascii="Times New Roman" w:eastAsia="Calibri" w:hAnsi="Times New Roman" w:cs="Times New Roman"/>
          <w:sz w:val="22"/>
          <w:szCs w:val="22"/>
        </w:rPr>
        <w:t xml:space="preserve">Rights </w:t>
      </w:r>
      <w:r w:rsidR="007D7AB8" w:rsidRPr="00E960C9">
        <w:rPr>
          <w:rFonts w:ascii="Times New Roman" w:eastAsia="Calibri" w:hAnsi="Times New Roman" w:cs="Times New Roman"/>
          <w:sz w:val="22"/>
          <w:szCs w:val="22"/>
        </w:rPr>
        <w:t>of ethnic minorities</w:t>
      </w:r>
      <w:bookmarkEnd w:id="28"/>
      <w:r w:rsidR="007D7AB8" w:rsidRPr="00E960C9">
        <w:rPr>
          <w:rFonts w:ascii="Times New Roman" w:eastAsia="Calibri" w:hAnsi="Times New Roman" w:cs="Times New Roman"/>
          <w:sz w:val="22"/>
          <w:szCs w:val="22"/>
        </w:rPr>
        <w:t xml:space="preserve"> </w:t>
      </w:r>
    </w:p>
    <w:p w14:paraId="4BBBB64D" w14:textId="004FD462" w:rsidR="009D3B5B" w:rsidRPr="00DF3E41" w:rsidRDefault="009D3B5B" w:rsidP="00904117">
      <w:pPr>
        <w:spacing w:before="120" w:after="120"/>
        <w:jc w:val="both"/>
        <w:rPr>
          <w:rFonts w:eastAsia="Calibri"/>
          <w:sz w:val="22"/>
          <w:szCs w:val="22"/>
        </w:rPr>
      </w:pPr>
      <w:r w:rsidRPr="00E960C9">
        <w:rPr>
          <w:rFonts w:eastAsia="Calibri"/>
          <w:sz w:val="22"/>
          <w:szCs w:val="22"/>
        </w:rPr>
        <w:t xml:space="preserve">The State Strategy for Civic Equality and Integration and Action Plan for 2015-2020 are </w:t>
      </w:r>
      <w:r w:rsidR="00C0157F" w:rsidRPr="00E960C9">
        <w:rPr>
          <w:rFonts w:eastAsia="Calibri"/>
          <w:sz w:val="22"/>
          <w:szCs w:val="22"/>
        </w:rPr>
        <w:t xml:space="preserve">essential </w:t>
      </w:r>
      <w:r w:rsidRPr="00E960C9">
        <w:rPr>
          <w:rFonts w:eastAsia="Calibri"/>
          <w:sz w:val="22"/>
          <w:szCs w:val="22"/>
        </w:rPr>
        <w:t xml:space="preserve">tools for ensuring civil integration. These documents aimed at creating an equal environment, ensuring that </w:t>
      </w:r>
      <w:r w:rsidRPr="00DF3E41">
        <w:rPr>
          <w:rFonts w:eastAsia="Calibri"/>
          <w:sz w:val="22"/>
          <w:szCs w:val="22"/>
        </w:rPr>
        <w:lastRenderedPageBreak/>
        <w:t>representatives of ethnic minorities participate equally and fully in the civic and political life and protecting the cultural identity of ethnic minorities.</w:t>
      </w:r>
    </w:p>
    <w:p w14:paraId="789EFAA4" w14:textId="05983B1F" w:rsidR="00F853CC" w:rsidRPr="00DF3E41" w:rsidRDefault="00330370" w:rsidP="00904117">
      <w:pPr>
        <w:spacing w:before="120" w:after="120"/>
        <w:jc w:val="both"/>
        <w:rPr>
          <w:rFonts w:eastAsia="Calibri"/>
          <w:sz w:val="22"/>
          <w:szCs w:val="22"/>
        </w:rPr>
      </w:pPr>
      <w:r w:rsidRPr="00DF3E41">
        <w:rPr>
          <w:rFonts w:eastAsia="Calibri"/>
          <w:sz w:val="22"/>
          <w:szCs w:val="22"/>
        </w:rPr>
        <w:t>Since 2015, the native languages of ethnic minorities (</w:t>
      </w:r>
      <w:proofErr w:type="spellStart"/>
      <w:r w:rsidRPr="00DF3E41">
        <w:rPr>
          <w:sz w:val="22"/>
          <w:szCs w:val="22"/>
        </w:rPr>
        <w:t>Ossetian</w:t>
      </w:r>
      <w:proofErr w:type="spellEnd"/>
      <w:r w:rsidRPr="00DF3E41">
        <w:rPr>
          <w:sz w:val="22"/>
          <w:szCs w:val="22"/>
        </w:rPr>
        <w:t xml:space="preserve">, </w:t>
      </w:r>
      <w:proofErr w:type="spellStart"/>
      <w:r w:rsidRPr="00DF3E41">
        <w:rPr>
          <w:sz w:val="22"/>
          <w:szCs w:val="22"/>
        </w:rPr>
        <w:t>Chechenian</w:t>
      </w:r>
      <w:proofErr w:type="spellEnd"/>
      <w:r w:rsidRPr="00DF3E41">
        <w:rPr>
          <w:sz w:val="22"/>
          <w:szCs w:val="22"/>
        </w:rPr>
        <w:t xml:space="preserve">, </w:t>
      </w:r>
      <w:proofErr w:type="spellStart"/>
      <w:r w:rsidRPr="00DF3E41">
        <w:rPr>
          <w:sz w:val="22"/>
          <w:szCs w:val="22"/>
        </w:rPr>
        <w:t>Khundzian</w:t>
      </w:r>
      <w:proofErr w:type="spellEnd"/>
      <w:r w:rsidRPr="00DF3E41">
        <w:rPr>
          <w:sz w:val="22"/>
          <w:szCs w:val="22"/>
        </w:rPr>
        <w:t xml:space="preserve">, Kurdish, </w:t>
      </w:r>
      <w:proofErr w:type="spellStart"/>
      <w:r w:rsidRPr="00DF3E41">
        <w:rPr>
          <w:sz w:val="22"/>
          <w:szCs w:val="22"/>
        </w:rPr>
        <w:t>Udiuri</w:t>
      </w:r>
      <w:proofErr w:type="spellEnd"/>
      <w:r w:rsidRPr="00DF3E41">
        <w:rPr>
          <w:sz w:val="22"/>
          <w:szCs w:val="22"/>
        </w:rPr>
        <w:t xml:space="preserve">, and </w:t>
      </w:r>
      <w:proofErr w:type="spellStart"/>
      <w:r w:rsidRPr="00DF3E41">
        <w:rPr>
          <w:sz w:val="22"/>
          <w:szCs w:val="22"/>
        </w:rPr>
        <w:t>Assurian</w:t>
      </w:r>
      <w:proofErr w:type="spellEnd"/>
      <w:r w:rsidRPr="00DF3E41">
        <w:rPr>
          <w:sz w:val="22"/>
          <w:szCs w:val="22"/>
        </w:rPr>
        <w:t xml:space="preserve">) are taught at selected public schools. </w:t>
      </w:r>
    </w:p>
    <w:p w14:paraId="15A169D6" w14:textId="2D21C6E2" w:rsidR="008E3A84" w:rsidRPr="00DF3E41" w:rsidRDefault="008E3A84" w:rsidP="00904117">
      <w:pPr>
        <w:spacing w:before="120" w:after="120"/>
        <w:jc w:val="both"/>
        <w:rPr>
          <w:sz w:val="22"/>
          <w:szCs w:val="22"/>
        </w:rPr>
      </w:pPr>
      <w:r w:rsidRPr="00DF3E41">
        <w:rPr>
          <w:sz w:val="22"/>
          <w:szCs w:val="22"/>
        </w:rPr>
        <w:t xml:space="preserve">Ethnic minorities have access to education at all levels (pre-school, secondary, higher, and vocational) in their native language. There are 207 non-Georgian public schools and 84 non-Georgian sectors at schools in Georgia. Georgian language teaching </w:t>
      </w:r>
      <w:r w:rsidR="000D5D77" w:rsidRPr="00DF3E41">
        <w:rPr>
          <w:sz w:val="22"/>
          <w:szCs w:val="22"/>
        </w:rPr>
        <w:t>Programme</w:t>
      </w:r>
      <w:r w:rsidR="00EE0C9E" w:rsidRPr="00DF3E41">
        <w:rPr>
          <w:sz w:val="22"/>
          <w:szCs w:val="22"/>
        </w:rPr>
        <w:t>s</w:t>
      </w:r>
      <w:r w:rsidRPr="00DF3E41">
        <w:rPr>
          <w:sz w:val="22"/>
          <w:szCs w:val="22"/>
        </w:rPr>
        <w:t xml:space="preserve"> were expanded. </w:t>
      </w:r>
    </w:p>
    <w:p w14:paraId="3122AA2A" w14:textId="7F8DA82E" w:rsidR="008E3A84" w:rsidRPr="00DF3E41" w:rsidRDefault="008E3A84" w:rsidP="00000123">
      <w:pPr>
        <w:pStyle w:val="ListParagraph"/>
        <w:shd w:val="clear" w:color="auto" w:fill="FFFFFF"/>
        <w:spacing w:before="120" w:after="120"/>
        <w:ind w:left="0"/>
        <w:contextualSpacing w:val="0"/>
        <w:jc w:val="both"/>
        <w:rPr>
          <w:rFonts w:eastAsia="Calibri"/>
          <w:sz w:val="22"/>
          <w:szCs w:val="22"/>
        </w:rPr>
      </w:pPr>
      <w:r w:rsidRPr="00DF3E41">
        <w:rPr>
          <w:rFonts w:eastAsia="Calibri"/>
          <w:sz w:val="22"/>
          <w:szCs w:val="22"/>
        </w:rPr>
        <w:t xml:space="preserve">The State implements “1+4” </w:t>
      </w:r>
      <w:r w:rsidR="000D5D77" w:rsidRPr="00DF3E41">
        <w:rPr>
          <w:rFonts w:eastAsia="Calibri"/>
          <w:sz w:val="22"/>
          <w:szCs w:val="22"/>
        </w:rPr>
        <w:t>Programme</w:t>
      </w:r>
      <w:r w:rsidRPr="00DF3E41">
        <w:rPr>
          <w:rFonts w:eastAsia="Calibri"/>
          <w:sz w:val="22"/>
          <w:szCs w:val="22"/>
        </w:rPr>
        <w:t xml:space="preserve"> </w:t>
      </w:r>
      <w:r w:rsidR="00EE0C9E" w:rsidRPr="00DF3E41">
        <w:rPr>
          <w:sz w:val="22"/>
          <w:szCs w:val="22"/>
        </w:rPr>
        <w:t>that</w:t>
      </w:r>
      <w:r w:rsidRPr="00DF3E41">
        <w:rPr>
          <w:sz w:val="22"/>
          <w:szCs w:val="22"/>
        </w:rPr>
        <w:t xml:space="preserve"> provides simplified enrolment procedures at higher education institutions for representatives of ethnic minorities. This </w:t>
      </w:r>
      <w:r w:rsidR="000D5D77" w:rsidRPr="00DF3E41">
        <w:rPr>
          <w:sz w:val="22"/>
          <w:szCs w:val="22"/>
        </w:rPr>
        <w:t>Programme</w:t>
      </w:r>
      <w:r w:rsidRPr="00DF3E41">
        <w:rPr>
          <w:sz w:val="22"/>
          <w:szCs w:val="22"/>
        </w:rPr>
        <w:t xml:space="preserve"> is very popular among ethnic minority youth. </w:t>
      </w:r>
      <w:r w:rsidR="0004224A" w:rsidRPr="00DF3E41">
        <w:rPr>
          <w:sz w:val="22"/>
          <w:szCs w:val="22"/>
        </w:rPr>
        <w:t xml:space="preserve">The number of students increased by 6-times (in 2010, 299 non-Georgian school graduates enrolled at higher education institutions, in 2011 - 429, in 2012 - 584, in 2013 – 890, in 2014 - 673 and in  2015 - 741, in 2016 – 960, in  2017 -1047; in 2018 – 1,231; in 2019- 1,335). </w:t>
      </w:r>
    </w:p>
    <w:p w14:paraId="5A2502C0" w14:textId="08B79C9C" w:rsidR="0004224A" w:rsidRPr="00DF3E41" w:rsidRDefault="0004224A" w:rsidP="00904117">
      <w:pPr>
        <w:spacing w:before="120" w:after="120"/>
        <w:jc w:val="both"/>
        <w:rPr>
          <w:rFonts w:eastAsia="Calibri"/>
          <w:sz w:val="22"/>
          <w:szCs w:val="22"/>
        </w:rPr>
      </w:pPr>
      <w:r w:rsidRPr="00DF3E41">
        <w:rPr>
          <w:rFonts w:eastAsia="Calibri"/>
          <w:sz w:val="22"/>
          <w:szCs w:val="22"/>
        </w:rPr>
        <w:t xml:space="preserve">Since 2016, representatives of ethnic minorities can pass vocational education tests in their native language (Armenian, Russian, or Azerbaijan languages) and enrol in courses at vocational educational institutions that are fully funded by the State. Upon enrolment, the students attend the course of Georgian language (module) and only after they study the professional subjects. </w:t>
      </w:r>
    </w:p>
    <w:p w14:paraId="14B2270F" w14:textId="77777777" w:rsidR="009D3B5B" w:rsidRPr="00E960C9" w:rsidRDefault="009D3B5B" w:rsidP="009D3B5B">
      <w:pPr>
        <w:spacing w:before="120" w:after="120"/>
        <w:jc w:val="both"/>
        <w:rPr>
          <w:sz w:val="22"/>
          <w:szCs w:val="22"/>
        </w:rPr>
      </w:pPr>
      <w:r w:rsidRPr="00DF3E41">
        <w:rPr>
          <w:sz w:val="22"/>
          <w:szCs w:val="22"/>
        </w:rPr>
        <w:t xml:space="preserve">THE LEPL Zurab </w:t>
      </w:r>
      <w:proofErr w:type="spellStart"/>
      <w:r w:rsidRPr="00DF3E41">
        <w:rPr>
          <w:sz w:val="22"/>
          <w:szCs w:val="22"/>
        </w:rPr>
        <w:t>Zhvania</w:t>
      </w:r>
      <w:proofErr w:type="spellEnd"/>
      <w:r w:rsidRPr="00DF3E41">
        <w:rPr>
          <w:sz w:val="22"/>
          <w:szCs w:val="22"/>
        </w:rPr>
        <w:t xml:space="preserve"> School of Public Administration continues implementation of short and long term vocational and educational training of civil servants who are representatives of ethnic minorities. Georgian language teaching, as well as civic education, is the part of the training courses.  In 2015-2018 688 public servants attended these training courses.</w:t>
      </w:r>
      <w:r w:rsidRPr="00E960C9">
        <w:rPr>
          <w:sz w:val="22"/>
          <w:szCs w:val="22"/>
        </w:rPr>
        <w:t xml:space="preserve"> </w:t>
      </w:r>
    </w:p>
    <w:p w14:paraId="67A4F06B" w14:textId="04B46FB5" w:rsidR="00CB49BD" w:rsidRPr="00E960C9" w:rsidRDefault="009D3B5B" w:rsidP="009D3B5B">
      <w:pPr>
        <w:spacing w:before="120" w:after="120"/>
        <w:jc w:val="both"/>
        <w:rPr>
          <w:sz w:val="22"/>
          <w:szCs w:val="22"/>
        </w:rPr>
      </w:pPr>
      <w:r w:rsidRPr="00E960C9">
        <w:rPr>
          <w:sz w:val="22"/>
          <w:szCs w:val="22"/>
        </w:rPr>
        <w:t>The CEC, aiming to inform the Armenian and Azerbaijan population, disseminated election documentation, videos concerning, inter alia, the available services and information brochures in the regions densely populated by ethnic minorities. Besides, the CEC financed 55 projects with a total budget of</w:t>
      </w:r>
      <w:r w:rsidR="00DD1855" w:rsidRPr="00E960C9">
        <w:rPr>
          <w:sz w:val="22"/>
          <w:szCs w:val="22"/>
        </w:rPr>
        <w:t xml:space="preserve"> 1</w:t>
      </w:r>
      <w:r w:rsidRPr="00E960C9">
        <w:rPr>
          <w:sz w:val="22"/>
          <w:szCs w:val="22"/>
        </w:rPr>
        <w:t>,524,545</w:t>
      </w:r>
      <w:r w:rsidR="00DD1855" w:rsidRPr="00E960C9">
        <w:rPr>
          <w:sz w:val="22"/>
          <w:szCs w:val="22"/>
        </w:rPr>
        <w:t xml:space="preserve"> GEL</w:t>
      </w:r>
      <w:r w:rsidRPr="00E960C9">
        <w:rPr>
          <w:sz w:val="22"/>
          <w:szCs w:val="22"/>
        </w:rPr>
        <w:t>.</w:t>
      </w:r>
    </w:p>
    <w:p w14:paraId="607216C3" w14:textId="40E5904C" w:rsidR="008C660C" w:rsidRPr="00E960C9" w:rsidRDefault="008C660C" w:rsidP="00904117">
      <w:pPr>
        <w:spacing w:before="120" w:after="120"/>
        <w:jc w:val="both"/>
        <w:rPr>
          <w:rFonts w:eastAsia="Calibri"/>
          <w:sz w:val="22"/>
          <w:szCs w:val="22"/>
        </w:rPr>
      </w:pPr>
      <w:r w:rsidRPr="00E960C9">
        <w:rPr>
          <w:rFonts w:eastAsia="Calibri"/>
          <w:sz w:val="22"/>
          <w:szCs w:val="22"/>
        </w:rPr>
        <w:t xml:space="preserve">In 2015-2019, the representatives of ethnic minorities participated in all elections held in Georgia equally with other citizens and without any barriers. </w:t>
      </w:r>
    </w:p>
    <w:p w14:paraId="6BAACCE4" w14:textId="6C5B68FF" w:rsidR="005C7929" w:rsidRPr="00E960C9" w:rsidRDefault="0070737C" w:rsidP="00904117">
      <w:pPr>
        <w:spacing w:before="120" w:after="120"/>
        <w:jc w:val="both"/>
        <w:rPr>
          <w:sz w:val="22"/>
          <w:szCs w:val="22"/>
        </w:rPr>
      </w:pPr>
      <w:r w:rsidRPr="00E960C9">
        <w:rPr>
          <w:sz w:val="22"/>
          <w:szCs w:val="22"/>
        </w:rPr>
        <w:t xml:space="preserve">Eleven members </w:t>
      </w:r>
      <w:r w:rsidRPr="00E960C9">
        <w:rPr>
          <w:rFonts w:eastAsia="Calibri"/>
          <w:sz w:val="22"/>
          <w:szCs w:val="22"/>
        </w:rPr>
        <w:t>of</w:t>
      </w:r>
      <w:r w:rsidRPr="00E960C9">
        <w:rPr>
          <w:sz w:val="22"/>
          <w:szCs w:val="22"/>
        </w:rPr>
        <w:t xml:space="preserve"> the Parliament are the representatives of ethnic minorities. In the regions densely populated by ethnic minorities (Armenians and </w:t>
      </w:r>
      <w:proofErr w:type="spellStart"/>
      <w:r w:rsidRPr="00E960C9">
        <w:rPr>
          <w:sz w:val="22"/>
          <w:szCs w:val="22"/>
        </w:rPr>
        <w:t>Azeris</w:t>
      </w:r>
      <w:proofErr w:type="spellEnd"/>
      <w:r w:rsidRPr="00E960C9">
        <w:rPr>
          <w:sz w:val="22"/>
          <w:szCs w:val="22"/>
        </w:rPr>
        <w:t xml:space="preserve">), their representatives in the local self-governments are proportional to the population composition. </w:t>
      </w:r>
    </w:p>
    <w:p w14:paraId="1917302E" w14:textId="53861BF4" w:rsidR="0070737C" w:rsidRPr="00E960C9" w:rsidRDefault="0070737C" w:rsidP="00904117">
      <w:pPr>
        <w:spacing w:before="120" w:after="120"/>
        <w:jc w:val="both"/>
        <w:rPr>
          <w:rFonts w:eastAsia="Calibri"/>
          <w:sz w:val="22"/>
          <w:szCs w:val="22"/>
        </w:rPr>
      </w:pPr>
      <w:r w:rsidRPr="00E960C9">
        <w:rPr>
          <w:rFonts w:eastAsia="Calibri"/>
          <w:sz w:val="22"/>
          <w:szCs w:val="22"/>
        </w:rPr>
        <w:t xml:space="preserve">Students representing ethnic minorities – </w:t>
      </w:r>
      <w:r w:rsidR="00DD1855" w:rsidRPr="00E960C9">
        <w:rPr>
          <w:rFonts w:eastAsia="Calibri"/>
          <w:sz w:val="22"/>
          <w:szCs w:val="22"/>
        </w:rPr>
        <w:t>so-called</w:t>
      </w:r>
      <w:r w:rsidRPr="00E960C9">
        <w:rPr>
          <w:rFonts w:eastAsia="Calibri"/>
          <w:sz w:val="22"/>
          <w:szCs w:val="22"/>
        </w:rPr>
        <w:t xml:space="preserve"> beneficiaries of “1+4” </w:t>
      </w:r>
      <w:r w:rsidR="000D5D77" w:rsidRPr="00E960C9">
        <w:rPr>
          <w:rFonts w:eastAsia="Calibri"/>
          <w:sz w:val="22"/>
          <w:szCs w:val="22"/>
        </w:rPr>
        <w:t>Programme</w:t>
      </w:r>
      <w:r w:rsidRPr="00E960C9">
        <w:rPr>
          <w:rFonts w:eastAsia="Calibri"/>
          <w:sz w:val="22"/>
          <w:szCs w:val="22"/>
        </w:rPr>
        <w:t xml:space="preserve">s </w:t>
      </w:r>
      <w:r w:rsidR="00201E53" w:rsidRPr="00E960C9">
        <w:rPr>
          <w:rFonts w:eastAsia="Calibri"/>
          <w:sz w:val="22"/>
          <w:szCs w:val="22"/>
        </w:rPr>
        <w:t>have an opportunity of internship twice a year. Th</w:t>
      </w:r>
      <w:r w:rsidR="00EE0C9E" w:rsidRPr="00E960C9">
        <w:rPr>
          <w:rFonts w:eastAsia="Calibri"/>
          <w:sz w:val="22"/>
          <w:szCs w:val="22"/>
        </w:rPr>
        <w:t>e</w:t>
      </w:r>
      <w:r w:rsidR="00201E53" w:rsidRPr="00E960C9">
        <w:rPr>
          <w:rFonts w:eastAsia="Calibri"/>
          <w:sz w:val="22"/>
          <w:szCs w:val="22"/>
        </w:rPr>
        <w:t xml:space="preserve"> </w:t>
      </w:r>
      <w:r w:rsidR="000D5D77" w:rsidRPr="00E960C9">
        <w:rPr>
          <w:rFonts w:eastAsia="Calibri"/>
          <w:sz w:val="22"/>
          <w:szCs w:val="22"/>
        </w:rPr>
        <w:t>Programme</w:t>
      </w:r>
      <w:r w:rsidR="00201E53" w:rsidRPr="00E960C9">
        <w:rPr>
          <w:rFonts w:eastAsia="Calibri"/>
          <w:sz w:val="22"/>
          <w:szCs w:val="22"/>
        </w:rPr>
        <w:t xml:space="preserve"> facilitate</w:t>
      </w:r>
      <w:r w:rsidR="00EE0C9E" w:rsidRPr="00E960C9">
        <w:rPr>
          <w:rFonts w:eastAsia="Calibri"/>
          <w:sz w:val="22"/>
          <w:szCs w:val="22"/>
        </w:rPr>
        <w:t>s</w:t>
      </w:r>
      <w:r w:rsidR="00201E53" w:rsidRPr="00E960C9">
        <w:rPr>
          <w:rFonts w:eastAsia="Calibri"/>
          <w:sz w:val="22"/>
          <w:szCs w:val="22"/>
        </w:rPr>
        <w:t xml:space="preserve"> engagement and civil </w:t>
      </w:r>
      <w:r w:rsidR="00EE0C9E" w:rsidRPr="00E960C9">
        <w:rPr>
          <w:rFonts w:eastAsia="Calibri"/>
          <w:sz w:val="22"/>
          <w:szCs w:val="22"/>
        </w:rPr>
        <w:t>integration</w:t>
      </w:r>
      <w:r w:rsidR="00201E53" w:rsidRPr="00E960C9">
        <w:rPr>
          <w:rFonts w:eastAsia="Calibri"/>
          <w:sz w:val="22"/>
          <w:szCs w:val="22"/>
        </w:rPr>
        <w:t xml:space="preserve"> of youth. </w:t>
      </w:r>
      <w:r w:rsidR="00DD5F3C" w:rsidRPr="00E960C9">
        <w:rPr>
          <w:rFonts w:eastAsia="Calibri"/>
          <w:sz w:val="22"/>
          <w:szCs w:val="22"/>
        </w:rPr>
        <w:t xml:space="preserve">As of February 2020, 294 young </w:t>
      </w:r>
      <w:r w:rsidR="00DF3E41">
        <w:rPr>
          <w:rFonts w:eastAsia="Calibri"/>
          <w:sz w:val="22"/>
          <w:szCs w:val="22"/>
          <w:lang w:val="en-US"/>
        </w:rPr>
        <w:t>people</w:t>
      </w:r>
      <w:r w:rsidR="00DF3E41" w:rsidRPr="00E960C9">
        <w:rPr>
          <w:rFonts w:eastAsia="Calibri"/>
          <w:sz w:val="22"/>
          <w:szCs w:val="22"/>
        </w:rPr>
        <w:t xml:space="preserve"> </w:t>
      </w:r>
      <w:r w:rsidR="002F470E" w:rsidRPr="00E960C9">
        <w:rPr>
          <w:rFonts w:eastAsia="Calibri"/>
          <w:sz w:val="22"/>
          <w:szCs w:val="22"/>
        </w:rPr>
        <w:t xml:space="preserve">participated in the internship </w:t>
      </w:r>
      <w:r w:rsidR="000D5D77" w:rsidRPr="00E960C9">
        <w:rPr>
          <w:rFonts w:eastAsia="Calibri"/>
          <w:sz w:val="22"/>
          <w:szCs w:val="22"/>
        </w:rPr>
        <w:t>Programme</w:t>
      </w:r>
      <w:r w:rsidR="002F470E" w:rsidRPr="00E960C9">
        <w:rPr>
          <w:rFonts w:eastAsia="Calibri"/>
          <w:sz w:val="22"/>
          <w:szCs w:val="22"/>
        </w:rPr>
        <w:t xml:space="preserve">. </w:t>
      </w:r>
    </w:p>
    <w:p w14:paraId="72A9C752" w14:textId="09A36EB4" w:rsidR="002F470E" w:rsidRPr="00E960C9" w:rsidRDefault="002649FA" w:rsidP="00904117">
      <w:pPr>
        <w:spacing w:before="120" w:after="120"/>
        <w:jc w:val="both"/>
        <w:rPr>
          <w:rFonts w:eastAsia="Calibri"/>
          <w:sz w:val="22"/>
          <w:szCs w:val="22"/>
        </w:rPr>
      </w:pPr>
      <w:r w:rsidRPr="00E960C9">
        <w:rPr>
          <w:rFonts w:eastAsia="Calibri"/>
          <w:sz w:val="22"/>
          <w:szCs w:val="22"/>
        </w:rPr>
        <w:t xml:space="preserve">Representatives of ethnic minorities permanently receive information on ongoing state healthcare and social </w:t>
      </w:r>
      <w:r w:rsidR="000D5D77" w:rsidRPr="00E960C9">
        <w:rPr>
          <w:rFonts w:eastAsia="Calibri"/>
          <w:sz w:val="22"/>
          <w:szCs w:val="22"/>
        </w:rPr>
        <w:t>Programme</w:t>
      </w:r>
      <w:r w:rsidRPr="00E960C9">
        <w:rPr>
          <w:rFonts w:eastAsia="Calibri"/>
          <w:sz w:val="22"/>
          <w:szCs w:val="22"/>
        </w:rPr>
        <w:t xml:space="preserve">s in their native language. </w:t>
      </w:r>
    </w:p>
    <w:p w14:paraId="3113C554" w14:textId="271FB6F5" w:rsidR="002649FA" w:rsidRPr="00E960C9" w:rsidRDefault="00DD1855" w:rsidP="00904117">
      <w:pPr>
        <w:spacing w:before="120" w:after="120"/>
        <w:jc w:val="both"/>
        <w:rPr>
          <w:sz w:val="22"/>
          <w:szCs w:val="22"/>
        </w:rPr>
      </w:pPr>
      <w:r w:rsidRPr="00E960C9">
        <w:rPr>
          <w:sz w:val="22"/>
          <w:szCs w:val="22"/>
        </w:rPr>
        <w:t xml:space="preserve">The Georgian Public Broadcaster broadcasts news with companion soundtracks in Georgian, Armenian and Azerbaijan languages. In 2017, the Georgian Public Broadcaster launched the website www.1tv.ge in 7 languages (Georgian, Abkhaz, </w:t>
      </w:r>
      <w:proofErr w:type="spellStart"/>
      <w:r w:rsidRPr="00E960C9">
        <w:rPr>
          <w:sz w:val="22"/>
          <w:szCs w:val="22"/>
        </w:rPr>
        <w:t>Ossetian</w:t>
      </w:r>
      <w:proofErr w:type="spellEnd"/>
      <w:r w:rsidRPr="00E960C9">
        <w:rPr>
          <w:sz w:val="22"/>
          <w:szCs w:val="22"/>
        </w:rPr>
        <w:t xml:space="preserve">, Armenian, Azerbaijan, English and Russian) where news is published for interested persons. Radio broadcasting is also accessible to ethnic minorities. The State supports publication of non-Georgian newspapers.  </w:t>
      </w:r>
    </w:p>
    <w:p w14:paraId="034EAAE7" w14:textId="6B54505C" w:rsidR="00BB1BF1" w:rsidRPr="00E960C9" w:rsidRDefault="00DD1855" w:rsidP="00904117">
      <w:pPr>
        <w:spacing w:before="120" w:after="120"/>
        <w:jc w:val="both"/>
        <w:rPr>
          <w:rFonts w:eastAsia="Calibri"/>
          <w:sz w:val="22"/>
          <w:szCs w:val="22"/>
        </w:rPr>
      </w:pPr>
      <w:r w:rsidRPr="00E960C9">
        <w:rPr>
          <w:rFonts w:eastAsia="Calibri"/>
          <w:sz w:val="22"/>
          <w:szCs w:val="22"/>
        </w:rPr>
        <w:t xml:space="preserve">In order to protect and give publicity to the culture of the ethnic minorities, different programmes supporting theatres, museums, cultural centres are being implemented; besides, many cultural events were conducted. </w:t>
      </w:r>
    </w:p>
    <w:p w14:paraId="7706F415" w14:textId="4A9E529B" w:rsidR="00972754" w:rsidRPr="00E960C9" w:rsidRDefault="00972754" w:rsidP="00904117">
      <w:pPr>
        <w:pStyle w:val="Heading2"/>
        <w:numPr>
          <w:ilvl w:val="0"/>
          <w:numId w:val="16"/>
        </w:numPr>
        <w:spacing w:before="120" w:after="120"/>
        <w:jc w:val="both"/>
        <w:rPr>
          <w:rFonts w:ascii="Times New Roman" w:hAnsi="Times New Roman" w:cs="Times New Roman"/>
          <w:sz w:val="22"/>
          <w:szCs w:val="22"/>
        </w:rPr>
      </w:pPr>
      <w:bookmarkStart w:id="29" w:name="_Toc51302049"/>
      <w:proofErr w:type="spellStart"/>
      <w:r w:rsidRPr="00E960C9">
        <w:rPr>
          <w:rFonts w:ascii="Times New Roman" w:eastAsia="Calibri" w:hAnsi="Times New Roman" w:cs="Times New Roman"/>
          <w:sz w:val="22"/>
          <w:szCs w:val="22"/>
        </w:rPr>
        <w:lastRenderedPageBreak/>
        <w:t>Ecomigrants</w:t>
      </w:r>
      <w:proofErr w:type="spellEnd"/>
      <w:r w:rsidRPr="00E960C9">
        <w:rPr>
          <w:rFonts w:ascii="Times New Roman" w:hAnsi="Times New Roman" w:cs="Times New Roman"/>
          <w:sz w:val="22"/>
          <w:szCs w:val="22"/>
        </w:rPr>
        <w:t>, reintegration of returned migrants, integration of persons with humanitarian status</w:t>
      </w:r>
      <w:bookmarkEnd w:id="29"/>
      <w:r w:rsidRPr="00E960C9">
        <w:rPr>
          <w:rFonts w:ascii="Times New Roman" w:hAnsi="Times New Roman" w:cs="Times New Roman"/>
          <w:sz w:val="22"/>
          <w:szCs w:val="22"/>
        </w:rPr>
        <w:t xml:space="preserve"> </w:t>
      </w:r>
    </w:p>
    <w:p w14:paraId="3A1E58B6" w14:textId="119369EE" w:rsidR="00BC3BE8" w:rsidRPr="00E960C9" w:rsidRDefault="00DD1855" w:rsidP="00904117">
      <w:pPr>
        <w:spacing w:before="120" w:after="120"/>
        <w:jc w:val="both"/>
        <w:rPr>
          <w:rFonts w:eastAsia="Calibri"/>
          <w:sz w:val="22"/>
          <w:szCs w:val="22"/>
        </w:rPr>
      </w:pPr>
      <w:r w:rsidRPr="00E960C9">
        <w:rPr>
          <w:rFonts w:eastAsia="Calibri"/>
          <w:sz w:val="22"/>
          <w:szCs w:val="22"/>
        </w:rPr>
        <w:t xml:space="preserve">Improvement of social-economic conditions of </w:t>
      </w:r>
      <w:proofErr w:type="spellStart"/>
      <w:r w:rsidRPr="00E960C9">
        <w:rPr>
          <w:rFonts w:eastAsia="Calibri"/>
          <w:sz w:val="22"/>
          <w:szCs w:val="22"/>
        </w:rPr>
        <w:t>ecomigrants</w:t>
      </w:r>
      <w:proofErr w:type="spellEnd"/>
      <w:r w:rsidRPr="00E960C9">
        <w:rPr>
          <w:rFonts w:eastAsia="Calibri"/>
          <w:sz w:val="22"/>
          <w:szCs w:val="22"/>
        </w:rPr>
        <w:t xml:space="preserve"> is one of the priorities of the GOG. The Ministry of Healthcare is implementing a housing Programme for them. The decision on </w:t>
      </w:r>
      <w:proofErr w:type="spellStart"/>
      <w:r w:rsidRPr="00E960C9">
        <w:rPr>
          <w:rFonts w:eastAsia="Calibri"/>
          <w:sz w:val="22"/>
          <w:szCs w:val="22"/>
        </w:rPr>
        <w:t>ecomigrant</w:t>
      </w:r>
      <w:proofErr w:type="spellEnd"/>
      <w:r w:rsidRPr="00E960C9">
        <w:rPr>
          <w:rFonts w:eastAsia="Calibri"/>
          <w:sz w:val="22"/>
          <w:szCs w:val="22"/>
        </w:rPr>
        <w:t xml:space="preserve"> families' housing is made transparently, engaging representatives of international and non-governmental </w:t>
      </w:r>
      <w:r w:rsidR="00C0157F" w:rsidRPr="00E960C9">
        <w:rPr>
          <w:rFonts w:eastAsia="Calibri"/>
          <w:sz w:val="22"/>
          <w:szCs w:val="22"/>
        </w:rPr>
        <w:t>organisation</w:t>
      </w:r>
      <w:r w:rsidRPr="00E960C9">
        <w:rPr>
          <w:rFonts w:eastAsia="Calibri"/>
          <w:sz w:val="22"/>
          <w:szCs w:val="22"/>
        </w:rPr>
        <w:t xml:space="preserve">s and the PDO. </w:t>
      </w:r>
    </w:p>
    <w:p w14:paraId="106BD7C7" w14:textId="5F537706" w:rsidR="00804AB3" w:rsidRPr="00E960C9" w:rsidRDefault="00804AB3" w:rsidP="00904117">
      <w:pPr>
        <w:spacing w:before="120" w:after="120"/>
        <w:jc w:val="both"/>
        <w:rPr>
          <w:rFonts w:eastAsia="Calibri"/>
          <w:sz w:val="22"/>
          <w:szCs w:val="22"/>
        </w:rPr>
      </w:pPr>
      <w:r w:rsidRPr="00E960C9">
        <w:rPr>
          <w:rFonts w:eastAsia="Calibri"/>
          <w:sz w:val="22"/>
          <w:szCs w:val="22"/>
        </w:rPr>
        <w:t>The immovable property (houses and land plots) purchased in 2004-2009 was re-registered. Transfer of these propert</w:t>
      </w:r>
      <w:r w:rsidR="001B08C9" w:rsidRPr="00E960C9">
        <w:rPr>
          <w:rFonts w:eastAsia="Calibri"/>
          <w:sz w:val="22"/>
          <w:szCs w:val="22"/>
        </w:rPr>
        <w:t>ies</w:t>
      </w:r>
      <w:r w:rsidRPr="00E960C9">
        <w:rPr>
          <w:rFonts w:eastAsia="Calibri"/>
          <w:sz w:val="22"/>
          <w:szCs w:val="22"/>
        </w:rPr>
        <w:t xml:space="preserve"> to </w:t>
      </w:r>
      <w:proofErr w:type="spellStart"/>
      <w:r w:rsidRPr="00E960C9">
        <w:rPr>
          <w:rFonts w:eastAsia="Calibri"/>
          <w:sz w:val="22"/>
          <w:szCs w:val="22"/>
        </w:rPr>
        <w:t>ecomigrants</w:t>
      </w:r>
      <w:proofErr w:type="spellEnd"/>
      <w:r w:rsidRPr="00E960C9">
        <w:rPr>
          <w:rFonts w:eastAsia="Calibri"/>
          <w:sz w:val="22"/>
          <w:szCs w:val="22"/>
        </w:rPr>
        <w:t xml:space="preserve"> began in 2016. </w:t>
      </w:r>
    </w:p>
    <w:p w14:paraId="14E02672" w14:textId="45FC38C9" w:rsidR="0011572C" w:rsidRPr="00E960C9" w:rsidRDefault="009249D2" w:rsidP="00904117">
      <w:pPr>
        <w:spacing w:before="120" w:after="120"/>
        <w:jc w:val="both"/>
        <w:rPr>
          <w:rFonts w:eastAsia="Calibri"/>
          <w:sz w:val="22"/>
          <w:szCs w:val="22"/>
        </w:rPr>
      </w:pPr>
      <w:r w:rsidRPr="00E960C9">
        <w:rPr>
          <w:rFonts w:eastAsia="Calibri"/>
          <w:sz w:val="22"/>
          <w:szCs w:val="22"/>
        </w:rPr>
        <w:t xml:space="preserve">Since 2015, </w:t>
      </w:r>
      <w:r w:rsidR="00EE0C9E" w:rsidRPr="00E960C9">
        <w:rPr>
          <w:rFonts w:eastAsia="Calibri"/>
          <w:sz w:val="22"/>
          <w:szCs w:val="22"/>
        </w:rPr>
        <w:t>the</w:t>
      </w:r>
      <w:r w:rsidRPr="00E960C9">
        <w:rPr>
          <w:rFonts w:eastAsia="Calibri"/>
          <w:sz w:val="22"/>
          <w:szCs w:val="22"/>
        </w:rPr>
        <w:t xml:space="preserve"> Ministry of Healthcare implements the </w:t>
      </w:r>
      <w:r w:rsidR="000D5D77" w:rsidRPr="00E960C9">
        <w:rPr>
          <w:rFonts w:eastAsia="Calibri"/>
          <w:sz w:val="22"/>
          <w:szCs w:val="22"/>
        </w:rPr>
        <w:t>Programme</w:t>
      </w:r>
      <w:r w:rsidRPr="00E960C9">
        <w:rPr>
          <w:rFonts w:eastAsia="Calibri"/>
          <w:sz w:val="22"/>
          <w:szCs w:val="22"/>
        </w:rPr>
        <w:t xml:space="preserve"> on Reintegration of </w:t>
      </w:r>
      <w:r w:rsidR="00EE0C9E" w:rsidRPr="00E960C9">
        <w:rPr>
          <w:rFonts w:eastAsia="Calibri"/>
          <w:sz w:val="22"/>
          <w:szCs w:val="22"/>
        </w:rPr>
        <w:t>Returned</w:t>
      </w:r>
      <w:r w:rsidRPr="00E960C9">
        <w:rPr>
          <w:rFonts w:eastAsia="Calibri"/>
          <w:sz w:val="22"/>
          <w:szCs w:val="22"/>
        </w:rPr>
        <w:t xml:space="preserve"> Migrants that provides the following services: provision of </w:t>
      </w:r>
      <w:r w:rsidR="00EE0C9E" w:rsidRPr="00E960C9">
        <w:rPr>
          <w:rFonts w:eastAsia="Calibri"/>
          <w:sz w:val="22"/>
          <w:szCs w:val="22"/>
        </w:rPr>
        <w:t>medical</w:t>
      </w:r>
      <w:r w:rsidRPr="00E960C9">
        <w:rPr>
          <w:rFonts w:eastAsia="Calibri"/>
          <w:sz w:val="22"/>
          <w:szCs w:val="22"/>
        </w:rPr>
        <w:t xml:space="preserve"> services and medicines, financing of social projects, provision of temporary accommodation and </w:t>
      </w:r>
      <w:r w:rsidR="003231C5" w:rsidRPr="00E960C9">
        <w:rPr>
          <w:rFonts w:eastAsia="Calibri"/>
          <w:sz w:val="22"/>
          <w:szCs w:val="22"/>
        </w:rPr>
        <w:t xml:space="preserve">vocational education and training for job seekers. </w:t>
      </w:r>
      <w:r w:rsidR="007A520D" w:rsidRPr="00E960C9">
        <w:rPr>
          <w:rFonts w:eastAsia="Calibri"/>
          <w:sz w:val="22"/>
          <w:szCs w:val="22"/>
        </w:rPr>
        <w:t xml:space="preserve">The annual budget of the </w:t>
      </w:r>
      <w:r w:rsidR="000D5D77" w:rsidRPr="00E960C9">
        <w:rPr>
          <w:rFonts w:eastAsia="Calibri"/>
          <w:sz w:val="22"/>
          <w:szCs w:val="22"/>
        </w:rPr>
        <w:t>Programme</w:t>
      </w:r>
      <w:r w:rsidR="007A520D" w:rsidRPr="00E960C9">
        <w:rPr>
          <w:rFonts w:eastAsia="Calibri"/>
          <w:sz w:val="22"/>
          <w:szCs w:val="22"/>
        </w:rPr>
        <w:t xml:space="preserve"> is 650,000</w:t>
      </w:r>
      <w:r w:rsidR="00DD1855" w:rsidRPr="00E960C9">
        <w:rPr>
          <w:rFonts w:eastAsia="Calibri"/>
          <w:sz w:val="22"/>
          <w:szCs w:val="22"/>
        </w:rPr>
        <w:t xml:space="preserve"> </w:t>
      </w:r>
      <w:r w:rsidR="00DD1855" w:rsidRPr="00E960C9">
        <w:rPr>
          <w:sz w:val="22"/>
          <w:szCs w:val="22"/>
        </w:rPr>
        <w:t>GEL</w:t>
      </w:r>
      <w:r w:rsidR="007A520D" w:rsidRPr="00E960C9">
        <w:rPr>
          <w:rFonts w:eastAsia="Calibri"/>
          <w:sz w:val="22"/>
          <w:szCs w:val="22"/>
        </w:rPr>
        <w:t>.</w:t>
      </w:r>
    </w:p>
    <w:p w14:paraId="3FF4A9EB" w14:textId="485E5F01" w:rsidR="00D86C91" w:rsidRPr="00E960C9" w:rsidRDefault="00A26590" w:rsidP="00904117">
      <w:pPr>
        <w:spacing w:before="120" w:after="120"/>
        <w:jc w:val="both"/>
        <w:rPr>
          <w:rFonts w:eastAsia="Calibri"/>
          <w:sz w:val="22"/>
          <w:szCs w:val="22"/>
        </w:rPr>
      </w:pPr>
      <w:r w:rsidRPr="00E960C9">
        <w:rPr>
          <w:rFonts w:eastAsia="Calibri"/>
          <w:sz w:val="22"/>
          <w:szCs w:val="22"/>
        </w:rPr>
        <w:t xml:space="preserve">In 2016 Law of Georgia on International Protection was adopted. The Law </w:t>
      </w:r>
      <w:r w:rsidR="00D86C91" w:rsidRPr="00E960C9">
        <w:rPr>
          <w:rFonts w:eastAsia="Calibri"/>
          <w:sz w:val="22"/>
          <w:szCs w:val="22"/>
        </w:rPr>
        <w:t xml:space="preserve">defines the legal status of asylum seekers, refugee and humanitarian status holders, and persons under temporary protection, the grounds and procedures for granting, terminating, revoking and withdrawing the relevant status. </w:t>
      </w:r>
      <w:r w:rsidR="00DD1855" w:rsidRPr="00E960C9">
        <w:rPr>
          <w:rFonts w:eastAsia="Calibri"/>
          <w:sz w:val="22"/>
          <w:szCs w:val="22"/>
        </w:rPr>
        <w:t>S</w:t>
      </w:r>
      <w:r w:rsidR="00EE0C9E" w:rsidRPr="00E960C9">
        <w:rPr>
          <w:rFonts w:eastAsia="Calibri"/>
          <w:sz w:val="22"/>
          <w:szCs w:val="22"/>
        </w:rPr>
        <w:t>ince</w:t>
      </w:r>
      <w:r w:rsidR="00440B01" w:rsidRPr="00E960C9">
        <w:rPr>
          <w:rFonts w:eastAsia="Calibri"/>
          <w:sz w:val="22"/>
          <w:szCs w:val="22"/>
        </w:rPr>
        <w:t xml:space="preserve"> 2017, the Ministry </w:t>
      </w:r>
      <w:r w:rsidR="00975591">
        <w:rPr>
          <w:rFonts w:eastAsia="Calibri"/>
          <w:sz w:val="22"/>
          <w:szCs w:val="22"/>
        </w:rPr>
        <w:t>has</w:t>
      </w:r>
      <w:r w:rsidR="00C174D4">
        <w:rPr>
          <w:rFonts w:eastAsia="Calibri"/>
          <w:sz w:val="22"/>
          <w:szCs w:val="22"/>
        </w:rPr>
        <w:t xml:space="preserve"> been</w:t>
      </w:r>
      <w:r w:rsidR="00975591" w:rsidRPr="00E960C9">
        <w:rPr>
          <w:rFonts w:eastAsia="Calibri"/>
          <w:sz w:val="22"/>
          <w:szCs w:val="22"/>
        </w:rPr>
        <w:t xml:space="preserve"> </w:t>
      </w:r>
      <w:r w:rsidR="00440B01" w:rsidRPr="00E960C9">
        <w:rPr>
          <w:rFonts w:eastAsia="Calibri"/>
          <w:sz w:val="22"/>
          <w:szCs w:val="22"/>
        </w:rPr>
        <w:t xml:space="preserve">implementing the </w:t>
      </w:r>
      <w:r w:rsidR="000D5D77" w:rsidRPr="00E960C9">
        <w:rPr>
          <w:rFonts w:eastAsia="Calibri"/>
          <w:sz w:val="22"/>
          <w:szCs w:val="22"/>
        </w:rPr>
        <w:t>Programme</w:t>
      </w:r>
      <w:r w:rsidR="00440B01" w:rsidRPr="00E960C9">
        <w:rPr>
          <w:rFonts w:eastAsia="Calibri"/>
          <w:sz w:val="22"/>
          <w:szCs w:val="22"/>
        </w:rPr>
        <w:t xml:space="preserve"> on </w:t>
      </w:r>
      <w:r w:rsidR="00EE0C9E" w:rsidRPr="00E960C9">
        <w:rPr>
          <w:rFonts w:eastAsia="Calibri"/>
          <w:sz w:val="22"/>
          <w:szCs w:val="22"/>
        </w:rPr>
        <w:t>Integration</w:t>
      </w:r>
      <w:r w:rsidR="00440B01" w:rsidRPr="00E960C9">
        <w:rPr>
          <w:rFonts w:eastAsia="Calibri"/>
          <w:sz w:val="22"/>
          <w:szCs w:val="22"/>
        </w:rPr>
        <w:t xml:space="preserve"> of Persons under International Protection that covers all relevant persons. </w:t>
      </w:r>
    </w:p>
    <w:p w14:paraId="4C87DB64" w14:textId="676F861F" w:rsidR="008F227F" w:rsidRPr="00E960C9" w:rsidRDefault="008F227F" w:rsidP="00904117">
      <w:pPr>
        <w:spacing w:before="120" w:after="120"/>
        <w:jc w:val="both"/>
        <w:rPr>
          <w:rFonts w:eastAsia="Calibri"/>
          <w:sz w:val="22"/>
          <w:szCs w:val="22"/>
        </w:rPr>
      </w:pPr>
      <w:r w:rsidRPr="00E960C9">
        <w:rPr>
          <w:rFonts w:eastAsia="Calibri"/>
          <w:sz w:val="22"/>
          <w:szCs w:val="22"/>
        </w:rPr>
        <w:t xml:space="preserve">The </w:t>
      </w:r>
      <w:r w:rsidR="00EE0C9E" w:rsidRPr="00E960C9">
        <w:rPr>
          <w:rFonts w:eastAsia="Calibri"/>
          <w:sz w:val="22"/>
          <w:szCs w:val="22"/>
        </w:rPr>
        <w:t>Centre</w:t>
      </w:r>
      <w:r w:rsidRPr="00E960C9">
        <w:rPr>
          <w:rFonts w:eastAsia="Calibri"/>
          <w:sz w:val="22"/>
          <w:szCs w:val="22"/>
        </w:rPr>
        <w:t xml:space="preserve"> for Integration of the Persons</w:t>
      </w:r>
      <w:r w:rsidR="00EE0C9E" w:rsidRPr="00E960C9">
        <w:rPr>
          <w:rFonts w:eastAsia="Calibri"/>
          <w:sz w:val="22"/>
          <w:szCs w:val="22"/>
        </w:rPr>
        <w:t xml:space="preserve"> under</w:t>
      </w:r>
      <w:r w:rsidRPr="00E960C9">
        <w:rPr>
          <w:rFonts w:eastAsia="Calibri"/>
          <w:sz w:val="22"/>
          <w:szCs w:val="22"/>
        </w:rPr>
        <w:t xml:space="preserve"> International Protection provides the following services: </w:t>
      </w:r>
      <w:r w:rsidR="00A54630" w:rsidRPr="00E960C9">
        <w:rPr>
          <w:rFonts w:eastAsia="Calibri"/>
          <w:sz w:val="22"/>
          <w:szCs w:val="22"/>
        </w:rPr>
        <w:t xml:space="preserve">Georgian language courses, courses on raising social and cultural </w:t>
      </w:r>
      <w:r w:rsidR="00EE0C9E" w:rsidRPr="00E960C9">
        <w:rPr>
          <w:rFonts w:eastAsia="Calibri"/>
          <w:sz w:val="22"/>
          <w:szCs w:val="22"/>
        </w:rPr>
        <w:t>awareness</w:t>
      </w:r>
      <w:r w:rsidR="00A54630" w:rsidRPr="00E960C9">
        <w:rPr>
          <w:rFonts w:eastAsia="Calibri"/>
          <w:sz w:val="22"/>
          <w:szCs w:val="22"/>
        </w:rPr>
        <w:t xml:space="preserve">, civil </w:t>
      </w:r>
      <w:r w:rsidR="00EE0C9E" w:rsidRPr="00E960C9">
        <w:rPr>
          <w:rFonts w:eastAsia="Calibri"/>
          <w:sz w:val="22"/>
          <w:szCs w:val="22"/>
        </w:rPr>
        <w:t>integration</w:t>
      </w:r>
      <w:r w:rsidR="00A54630" w:rsidRPr="00E960C9">
        <w:rPr>
          <w:rFonts w:eastAsia="Calibri"/>
          <w:sz w:val="22"/>
          <w:szCs w:val="22"/>
        </w:rPr>
        <w:t xml:space="preserve"> course, engagement of the beneficiaries in the activities of the Youth National Palace, consultation on available state </w:t>
      </w:r>
      <w:r w:rsidR="000D5D77" w:rsidRPr="00E960C9">
        <w:rPr>
          <w:rFonts w:eastAsia="Calibri"/>
          <w:sz w:val="22"/>
          <w:szCs w:val="22"/>
        </w:rPr>
        <w:t>Programme</w:t>
      </w:r>
      <w:r w:rsidR="00A54630" w:rsidRPr="00E960C9">
        <w:rPr>
          <w:rFonts w:eastAsia="Calibri"/>
          <w:sz w:val="22"/>
          <w:szCs w:val="22"/>
        </w:rPr>
        <w:t xml:space="preserve">s, financing the project </w:t>
      </w:r>
      <w:r w:rsidR="005A2FB7">
        <w:rPr>
          <w:rFonts w:eastAsia="Calibri"/>
          <w:sz w:val="22"/>
          <w:szCs w:val="22"/>
        </w:rPr>
        <w:t>targeting</w:t>
      </w:r>
      <w:r w:rsidR="005A2FB7" w:rsidRPr="00E960C9">
        <w:rPr>
          <w:rFonts w:eastAsia="Calibri"/>
          <w:sz w:val="22"/>
          <w:szCs w:val="22"/>
        </w:rPr>
        <w:t xml:space="preserve"> </w:t>
      </w:r>
      <w:r w:rsidR="00A54630" w:rsidRPr="00E960C9">
        <w:rPr>
          <w:rFonts w:eastAsia="Calibri"/>
          <w:sz w:val="22"/>
          <w:szCs w:val="22"/>
        </w:rPr>
        <w:t>to the needs of beneficiaries.</w:t>
      </w:r>
    </w:p>
    <w:p w14:paraId="1E145DFF" w14:textId="77C8AEC9" w:rsidR="00F53821" w:rsidRPr="00E960C9" w:rsidRDefault="00F53821" w:rsidP="00904117">
      <w:pPr>
        <w:spacing w:before="120" w:after="120"/>
        <w:jc w:val="both"/>
        <w:rPr>
          <w:rFonts w:eastAsia="Calibri"/>
          <w:sz w:val="22"/>
          <w:szCs w:val="22"/>
        </w:rPr>
      </w:pPr>
      <w:r w:rsidRPr="00E960C9">
        <w:rPr>
          <w:rFonts w:eastAsia="Calibri"/>
          <w:sz w:val="22"/>
          <w:szCs w:val="22"/>
        </w:rPr>
        <w:t>During the court review of granting</w:t>
      </w:r>
      <w:r w:rsidR="004D0BA4" w:rsidRPr="00E960C9">
        <w:rPr>
          <w:rFonts w:eastAsia="Calibri"/>
          <w:sz w:val="22"/>
          <w:szCs w:val="22"/>
        </w:rPr>
        <w:t xml:space="preserve"> </w:t>
      </w:r>
      <w:r w:rsidRPr="00E960C9">
        <w:rPr>
          <w:rFonts w:eastAsia="Calibri"/>
          <w:sz w:val="22"/>
          <w:szCs w:val="22"/>
        </w:rPr>
        <w:t xml:space="preserve">asylum or humanitarian status, </w:t>
      </w:r>
      <w:r w:rsidR="00EE0C9E" w:rsidRPr="00E960C9">
        <w:rPr>
          <w:rFonts w:eastAsia="Calibri"/>
          <w:sz w:val="22"/>
          <w:szCs w:val="22"/>
        </w:rPr>
        <w:t>asylum</w:t>
      </w:r>
      <w:r w:rsidRPr="00E960C9">
        <w:rPr>
          <w:rFonts w:eastAsia="Calibri"/>
          <w:sz w:val="22"/>
          <w:szCs w:val="22"/>
        </w:rPr>
        <w:t xml:space="preserve"> seekers have access to free legal aid</w:t>
      </w:r>
      <w:r w:rsidR="0083128B">
        <w:rPr>
          <w:rFonts w:eastAsia="Calibri"/>
          <w:sz w:val="22"/>
          <w:szCs w:val="22"/>
        </w:rPr>
        <w:t>.</w:t>
      </w:r>
    </w:p>
    <w:p w14:paraId="225A2939" w14:textId="5A9F3145" w:rsidR="00BB1BF1" w:rsidRPr="003675F7" w:rsidRDefault="003675F7" w:rsidP="003675F7">
      <w:pPr>
        <w:pStyle w:val="Heading2"/>
        <w:numPr>
          <w:ilvl w:val="0"/>
          <w:numId w:val="16"/>
        </w:numPr>
        <w:spacing w:before="120" w:after="120"/>
        <w:jc w:val="both"/>
        <w:rPr>
          <w:rFonts w:ascii="Times New Roman" w:hAnsi="Times New Roman" w:cs="Times New Roman"/>
          <w:sz w:val="22"/>
          <w:szCs w:val="22"/>
        </w:rPr>
      </w:pPr>
      <w:r>
        <w:rPr>
          <w:rFonts w:ascii="Times New Roman" w:hAnsi="Times New Roman" w:cs="Times New Roman"/>
          <w:sz w:val="22"/>
          <w:szCs w:val="22"/>
        </w:rPr>
        <w:t>R</w:t>
      </w:r>
      <w:r w:rsidRPr="003675F7">
        <w:rPr>
          <w:rFonts w:ascii="Times New Roman" w:hAnsi="Times New Roman" w:cs="Times New Roman"/>
          <w:sz w:val="22"/>
          <w:szCs w:val="22"/>
        </w:rPr>
        <w:t>ight to safe and healthy environment,</w:t>
      </w:r>
    </w:p>
    <w:p w14:paraId="5E2DBB97" w14:textId="63850DB0" w:rsidR="004607F6" w:rsidRPr="00E960C9" w:rsidRDefault="004607F6" w:rsidP="00904117">
      <w:pPr>
        <w:spacing w:before="120" w:after="120"/>
        <w:jc w:val="both"/>
        <w:rPr>
          <w:rFonts w:eastAsia="Calibri"/>
          <w:sz w:val="22"/>
          <w:szCs w:val="22"/>
        </w:rPr>
      </w:pPr>
      <w:r w:rsidRPr="00E960C9">
        <w:rPr>
          <w:rFonts w:eastAsia="Calibri"/>
          <w:sz w:val="22"/>
          <w:szCs w:val="22"/>
        </w:rPr>
        <w:t xml:space="preserve">The GOG implements relevant measures for safeguarding the right to live in a safe and healthy environment. </w:t>
      </w:r>
    </w:p>
    <w:p w14:paraId="61DC7B98" w14:textId="3A5E03D0" w:rsidR="00667AFC" w:rsidRPr="00E960C9" w:rsidRDefault="00667AFC" w:rsidP="00904117">
      <w:pPr>
        <w:spacing w:before="120" w:after="120"/>
        <w:jc w:val="both"/>
        <w:rPr>
          <w:rFonts w:eastAsia="Calibri"/>
          <w:sz w:val="22"/>
          <w:szCs w:val="22"/>
        </w:rPr>
      </w:pPr>
      <w:r w:rsidRPr="00E960C9">
        <w:rPr>
          <w:rFonts w:eastAsia="Calibri"/>
          <w:sz w:val="22"/>
          <w:szCs w:val="22"/>
        </w:rPr>
        <w:t xml:space="preserve">In 2016 the GOG approved the National Waste Management Strategy 2016-2030 and an Action Plan 2016-2020. The objective of the Strategy is to prevent waste and facilitate increased re-utilization of waste and environmentally safe treatment of waste. </w:t>
      </w:r>
    </w:p>
    <w:p w14:paraId="3B358987" w14:textId="70CEFD91" w:rsidR="00A3232A" w:rsidRPr="00E960C9" w:rsidRDefault="00884857" w:rsidP="00904117">
      <w:pPr>
        <w:spacing w:before="120" w:after="120"/>
        <w:jc w:val="both"/>
        <w:rPr>
          <w:sz w:val="22"/>
          <w:szCs w:val="22"/>
        </w:rPr>
      </w:pPr>
      <w:r w:rsidRPr="00E960C9">
        <w:rPr>
          <w:sz w:val="22"/>
          <w:szCs w:val="22"/>
        </w:rPr>
        <w:t xml:space="preserve">In order to protect human health and the environment from the harmful impacts of persistent organic pollutants and create </w:t>
      </w:r>
      <w:r w:rsidRPr="00E960C9">
        <w:rPr>
          <w:rFonts w:eastAsia="Calibri"/>
          <w:sz w:val="22"/>
          <w:szCs w:val="22"/>
        </w:rPr>
        <w:t>effective</w:t>
      </w:r>
      <w:r w:rsidRPr="00E960C9">
        <w:rPr>
          <w:sz w:val="22"/>
          <w:szCs w:val="22"/>
        </w:rPr>
        <w:t xml:space="preserve"> chemical safety system, in 2018</w:t>
      </w:r>
      <w:r w:rsidR="004D0BA4" w:rsidRPr="00E960C9">
        <w:rPr>
          <w:sz w:val="22"/>
          <w:szCs w:val="22"/>
        </w:rPr>
        <w:t>,</w:t>
      </w:r>
      <w:r w:rsidRPr="00E960C9">
        <w:rPr>
          <w:sz w:val="22"/>
          <w:szCs w:val="22"/>
        </w:rPr>
        <w:t xml:space="preserve"> the GOG approved National Action Plan on </w:t>
      </w:r>
      <w:r w:rsidRPr="00E960C9">
        <w:rPr>
          <w:rFonts w:eastAsia="Calibri"/>
          <w:sz w:val="22"/>
          <w:szCs w:val="22"/>
        </w:rPr>
        <w:t xml:space="preserve">Persistent Organic Pollutants for 2018-2022. </w:t>
      </w:r>
    </w:p>
    <w:p w14:paraId="5D09FEBD" w14:textId="4649DB0D" w:rsidR="00015557" w:rsidRPr="00E960C9" w:rsidRDefault="006E75C8" w:rsidP="00904117">
      <w:pPr>
        <w:spacing w:before="120" w:after="120"/>
        <w:jc w:val="both"/>
        <w:rPr>
          <w:rFonts w:eastAsia="Calibri"/>
          <w:b/>
          <w:bCs/>
          <w:sz w:val="22"/>
          <w:szCs w:val="22"/>
        </w:rPr>
      </w:pPr>
      <w:r w:rsidRPr="00E960C9">
        <w:rPr>
          <w:rFonts w:eastAsia="Calibri"/>
          <w:sz w:val="22"/>
          <w:szCs w:val="22"/>
        </w:rPr>
        <w:t>Since 2018, vehicle periodic technical inspections became mandatory for all cars. During the last years</w:t>
      </w:r>
      <w:r w:rsidR="004D0BA4" w:rsidRPr="00E960C9">
        <w:rPr>
          <w:rFonts w:eastAsia="Calibri"/>
          <w:sz w:val="22"/>
          <w:szCs w:val="22"/>
        </w:rPr>
        <w:t>,</w:t>
      </w:r>
      <w:r w:rsidRPr="00E960C9">
        <w:rPr>
          <w:rFonts w:eastAsia="Calibri"/>
          <w:sz w:val="22"/>
          <w:szCs w:val="22"/>
        </w:rPr>
        <w:t xml:space="preserve"> the petrol quality was improved to bring it in line with modern European standards, the amount of sulphur in diesel fuel decreased gradually</w:t>
      </w:r>
      <w:r w:rsidR="00BE0EE3" w:rsidRPr="00E960C9">
        <w:rPr>
          <w:rFonts w:eastAsia="Calibri"/>
          <w:sz w:val="22"/>
          <w:szCs w:val="22"/>
        </w:rPr>
        <w:t xml:space="preserve">, in 2016 tax concessions for import on hybrid and electronic cars were introduced. </w:t>
      </w:r>
    </w:p>
    <w:p w14:paraId="572333C3" w14:textId="200A05CB" w:rsidR="00BE0EE3" w:rsidRPr="00E960C9" w:rsidRDefault="00BE0EE3" w:rsidP="00904117">
      <w:pPr>
        <w:spacing w:before="120" w:after="120"/>
        <w:jc w:val="both"/>
        <w:rPr>
          <w:rFonts w:eastAsia="Calibri"/>
          <w:sz w:val="22"/>
          <w:szCs w:val="22"/>
        </w:rPr>
      </w:pPr>
      <w:r w:rsidRPr="00E960C9">
        <w:rPr>
          <w:rFonts w:eastAsia="Calibri"/>
          <w:sz w:val="22"/>
          <w:szCs w:val="22"/>
        </w:rPr>
        <w:t xml:space="preserve">Information on the air quality is accessible on portal </w:t>
      </w:r>
      <w:hyperlink r:id="rId10" w:history="1">
        <w:r w:rsidR="00904117" w:rsidRPr="00E960C9">
          <w:rPr>
            <w:rStyle w:val="Hyperlink"/>
            <w:rFonts w:eastAsia="Calibri"/>
            <w:sz w:val="22"/>
            <w:szCs w:val="22"/>
          </w:rPr>
          <w:t>www.air.gov.ge</w:t>
        </w:r>
      </w:hyperlink>
      <w:r w:rsidR="00904117" w:rsidRPr="00E960C9">
        <w:rPr>
          <w:rFonts w:eastAsia="Calibri"/>
          <w:sz w:val="22"/>
          <w:szCs w:val="22"/>
        </w:rPr>
        <w:t xml:space="preserve"> </w:t>
      </w:r>
      <w:r w:rsidRPr="00E960C9">
        <w:rPr>
          <w:rFonts w:eastAsia="Calibri"/>
          <w:sz w:val="22"/>
          <w:szCs w:val="22"/>
        </w:rPr>
        <w:t xml:space="preserve">in a reliable, timely and </w:t>
      </w:r>
      <w:r w:rsidR="00C0157F" w:rsidRPr="00E960C9">
        <w:rPr>
          <w:rFonts w:eastAsia="Calibri"/>
          <w:sz w:val="22"/>
          <w:szCs w:val="22"/>
        </w:rPr>
        <w:t xml:space="preserve">straightforward </w:t>
      </w:r>
      <w:r w:rsidRPr="00E960C9">
        <w:rPr>
          <w:rFonts w:eastAsia="Calibri"/>
          <w:sz w:val="22"/>
          <w:szCs w:val="22"/>
        </w:rPr>
        <w:t xml:space="preserve">form. Recommendations on healthcare and air protection, </w:t>
      </w:r>
      <w:r w:rsidR="00EE0C9E" w:rsidRPr="00E960C9">
        <w:rPr>
          <w:rFonts w:eastAsia="Calibri"/>
          <w:sz w:val="22"/>
          <w:szCs w:val="22"/>
        </w:rPr>
        <w:t>emissions</w:t>
      </w:r>
      <w:r w:rsidRPr="00E960C9">
        <w:rPr>
          <w:rFonts w:eastAsia="Calibri"/>
          <w:sz w:val="22"/>
          <w:szCs w:val="22"/>
        </w:rPr>
        <w:t xml:space="preserve">, implemented and planned measures and monitoring network is also available on the platform. </w:t>
      </w:r>
    </w:p>
    <w:p w14:paraId="27FF2717" w14:textId="61E4FCF6" w:rsidR="00BE0EE3" w:rsidRPr="00E960C9" w:rsidRDefault="00D205AF" w:rsidP="00904117">
      <w:pPr>
        <w:spacing w:before="120" w:after="120"/>
        <w:jc w:val="both"/>
        <w:rPr>
          <w:rFonts w:eastAsia="Calibri"/>
          <w:sz w:val="22"/>
          <w:szCs w:val="22"/>
        </w:rPr>
      </w:pPr>
      <w:r w:rsidRPr="00E960C9">
        <w:rPr>
          <w:rFonts w:eastAsia="Calibri"/>
          <w:sz w:val="22"/>
          <w:szCs w:val="22"/>
        </w:rPr>
        <w:t>On January 1, 2018</w:t>
      </w:r>
      <w:r w:rsidR="004D0BA4" w:rsidRPr="00E960C9">
        <w:rPr>
          <w:rFonts w:eastAsia="Calibri"/>
          <w:sz w:val="22"/>
          <w:szCs w:val="22"/>
        </w:rPr>
        <w:t>,</w:t>
      </w:r>
      <w:r w:rsidRPr="00E960C9">
        <w:rPr>
          <w:rFonts w:eastAsia="Calibri"/>
          <w:sz w:val="22"/>
          <w:szCs w:val="22"/>
        </w:rPr>
        <w:t xml:space="preserve"> the Environmental Assessment Code entered into force. The Code regulates, </w:t>
      </w:r>
      <w:r w:rsidRPr="00E960C9">
        <w:rPr>
          <w:rFonts w:eastAsia="Calibri"/>
          <w:i/>
          <w:iCs/>
          <w:sz w:val="22"/>
          <w:szCs w:val="22"/>
        </w:rPr>
        <w:t>inter alia</w:t>
      </w:r>
      <w:r w:rsidRPr="00E960C9">
        <w:rPr>
          <w:rFonts w:eastAsia="Calibri"/>
          <w:sz w:val="22"/>
          <w:szCs w:val="22"/>
        </w:rPr>
        <w:t xml:space="preserve">, public participation in environmental impact assessment and strategic environmental assessment. </w:t>
      </w:r>
    </w:p>
    <w:p w14:paraId="7DA63712" w14:textId="2B687337" w:rsidR="00822EB0" w:rsidRPr="00E960C9" w:rsidRDefault="00360037" w:rsidP="00904117">
      <w:pPr>
        <w:spacing w:before="120" w:after="120"/>
        <w:jc w:val="both"/>
        <w:rPr>
          <w:rFonts w:eastAsia="Calibri"/>
          <w:sz w:val="22"/>
          <w:szCs w:val="22"/>
        </w:rPr>
      </w:pPr>
      <w:r w:rsidRPr="00E960C9">
        <w:rPr>
          <w:rFonts w:eastAsia="Calibri"/>
          <w:sz w:val="22"/>
          <w:szCs w:val="22"/>
        </w:rPr>
        <w:t xml:space="preserve">The draft Law on Industrial </w:t>
      </w:r>
      <w:r w:rsidR="00EE0C9E" w:rsidRPr="00E960C9">
        <w:rPr>
          <w:rFonts w:eastAsia="Calibri"/>
          <w:sz w:val="22"/>
          <w:szCs w:val="22"/>
        </w:rPr>
        <w:t>Emissions</w:t>
      </w:r>
      <w:r w:rsidRPr="00E960C9">
        <w:rPr>
          <w:rFonts w:eastAsia="Calibri"/>
          <w:sz w:val="22"/>
          <w:szCs w:val="22"/>
        </w:rPr>
        <w:t xml:space="preserve"> was developed. The draft </w:t>
      </w:r>
      <w:r w:rsidR="004D0BA4" w:rsidRPr="00E960C9">
        <w:rPr>
          <w:rFonts w:eastAsia="Calibri"/>
          <w:sz w:val="22"/>
          <w:szCs w:val="22"/>
        </w:rPr>
        <w:t>L</w:t>
      </w:r>
      <w:r w:rsidRPr="00E960C9">
        <w:rPr>
          <w:rFonts w:eastAsia="Calibri"/>
          <w:sz w:val="22"/>
          <w:szCs w:val="22"/>
        </w:rPr>
        <w:t xml:space="preserve">aw aims at prevention, decrease, control and prevention of waste creation as a result of </w:t>
      </w:r>
      <w:r w:rsidR="004D0BA4" w:rsidRPr="00E960C9">
        <w:rPr>
          <w:rFonts w:eastAsia="Calibri"/>
          <w:sz w:val="22"/>
          <w:szCs w:val="22"/>
        </w:rPr>
        <w:t xml:space="preserve">the </w:t>
      </w:r>
      <w:r w:rsidRPr="00E960C9">
        <w:rPr>
          <w:rFonts w:eastAsia="Calibri"/>
          <w:sz w:val="22"/>
          <w:szCs w:val="22"/>
        </w:rPr>
        <w:t xml:space="preserve">operation of large industries. </w:t>
      </w:r>
    </w:p>
    <w:p w14:paraId="6E12B456" w14:textId="0F144B03" w:rsidR="004C3282" w:rsidRPr="00E960C9" w:rsidRDefault="004C3282" w:rsidP="00904117">
      <w:pPr>
        <w:pStyle w:val="Heading1"/>
        <w:numPr>
          <w:ilvl w:val="0"/>
          <w:numId w:val="13"/>
        </w:numPr>
        <w:spacing w:before="120" w:after="120"/>
        <w:jc w:val="both"/>
        <w:rPr>
          <w:rFonts w:ascii="Times New Roman" w:eastAsia="Calibri" w:hAnsi="Times New Roman" w:cs="Times New Roman"/>
          <w:sz w:val="22"/>
          <w:szCs w:val="22"/>
        </w:rPr>
      </w:pPr>
      <w:bookmarkStart w:id="30" w:name="_Toc51302051"/>
      <w:r w:rsidRPr="00E960C9">
        <w:rPr>
          <w:rFonts w:ascii="Times New Roman" w:eastAsia="Calibri" w:hAnsi="Times New Roman" w:cs="Times New Roman"/>
          <w:sz w:val="22"/>
          <w:szCs w:val="22"/>
        </w:rPr>
        <w:lastRenderedPageBreak/>
        <w:t>Human Rights during the COVID-19 Crisis</w:t>
      </w:r>
      <w:bookmarkEnd w:id="30"/>
    </w:p>
    <w:p w14:paraId="04DCAD95" w14:textId="77777777" w:rsidR="004D0BA4" w:rsidRPr="00E960C9" w:rsidRDefault="004D0BA4" w:rsidP="004D0BA4">
      <w:pPr>
        <w:spacing w:before="120" w:after="120"/>
        <w:jc w:val="both"/>
        <w:rPr>
          <w:rFonts w:eastAsia="Calibri"/>
          <w:sz w:val="22"/>
          <w:szCs w:val="22"/>
        </w:rPr>
      </w:pPr>
      <w:r w:rsidRPr="00E960C9">
        <w:rPr>
          <w:rFonts w:eastAsia="Calibri"/>
          <w:sz w:val="22"/>
          <w:szCs w:val="22"/>
        </w:rPr>
        <w:t>From the outset of the COVID-19 pandemic, the GOG undertook measures in two directions – to save the health and life of citizens and to protect the economy. Every step of the Government aimed at protection of the right to health and social and economic rights.</w:t>
      </w:r>
    </w:p>
    <w:p w14:paraId="5CB5DD5A" w14:textId="64BF5EF7" w:rsidR="00822EB0" w:rsidRPr="00E960C9" w:rsidRDefault="004D0BA4" w:rsidP="004D0BA4">
      <w:pPr>
        <w:spacing w:before="120" w:after="120"/>
        <w:jc w:val="both"/>
        <w:rPr>
          <w:rFonts w:eastAsia="Calibri"/>
          <w:sz w:val="22"/>
          <w:szCs w:val="22"/>
        </w:rPr>
      </w:pPr>
      <w:r w:rsidRPr="00E960C9">
        <w:rPr>
          <w:rFonts w:eastAsia="Calibri"/>
          <w:sz w:val="22"/>
          <w:szCs w:val="22"/>
        </w:rPr>
        <w:t xml:space="preserve">From the beginning of the crisis, the GOG proactively took steps to protect social, civil and economic rights of vulnerable groups and minorities and ensure access to information, services, livelihood, healthcare and education for </w:t>
      </w:r>
      <w:proofErr w:type="spellStart"/>
      <w:r w:rsidRPr="00E960C9">
        <w:rPr>
          <w:rFonts w:eastAsia="Calibri"/>
          <w:sz w:val="22"/>
          <w:szCs w:val="22"/>
        </w:rPr>
        <w:t>PwDs</w:t>
      </w:r>
      <w:proofErr w:type="spellEnd"/>
      <w:r w:rsidRPr="00E960C9">
        <w:rPr>
          <w:rFonts w:eastAsia="Calibri"/>
          <w:sz w:val="22"/>
          <w:szCs w:val="22"/>
        </w:rPr>
        <w:t xml:space="preserve">, children, elderly, families with many children, single parents, ethnic, religious, sexual and minorities. The GOG, inter alia, ensured: </w:t>
      </w:r>
    </w:p>
    <w:p w14:paraId="4B81B282" w14:textId="71F29782" w:rsidR="000340BD" w:rsidRPr="00E960C9" w:rsidRDefault="000340BD" w:rsidP="00904117">
      <w:pPr>
        <w:pStyle w:val="ListParagraph"/>
        <w:numPr>
          <w:ilvl w:val="0"/>
          <w:numId w:val="19"/>
        </w:numPr>
        <w:spacing w:before="120" w:after="120"/>
        <w:jc w:val="both"/>
        <w:rPr>
          <w:rFonts w:eastAsia="Calibri"/>
          <w:sz w:val="22"/>
          <w:szCs w:val="22"/>
        </w:rPr>
      </w:pPr>
      <w:r w:rsidRPr="00E960C9">
        <w:rPr>
          <w:rFonts w:eastAsia="Calibri"/>
          <w:sz w:val="22"/>
          <w:szCs w:val="22"/>
        </w:rPr>
        <w:t>Provision of information on COVID-19</w:t>
      </w:r>
      <w:r w:rsidR="00315F49" w:rsidRPr="00E960C9">
        <w:rPr>
          <w:rFonts w:eastAsia="Calibri"/>
          <w:sz w:val="22"/>
          <w:szCs w:val="22"/>
        </w:rPr>
        <w:t xml:space="preserve"> in Georgian, Abkhaz, </w:t>
      </w:r>
      <w:proofErr w:type="spellStart"/>
      <w:r w:rsidR="00315F49" w:rsidRPr="00E960C9">
        <w:rPr>
          <w:rFonts w:eastAsia="Calibri"/>
          <w:sz w:val="22"/>
          <w:szCs w:val="22"/>
        </w:rPr>
        <w:t>Ossetian</w:t>
      </w:r>
      <w:proofErr w:type="spellEnd"/>
      <w:r w:rsidR="00315F49" w:rsidRPr="00E960C9">
        <w:rPr>
          <w:rFonts w:eastAsia="Calibri"/>
          <w:sz w:val="22"/>
          <w:szCs w:val="22"/>
        </w:rPr>
        <w:t>, English, Armenian and Azerbaijan languages;</w:t>
      </w:r>
    </w:p>
    <w:p w14:paraId="02AB4B58" w14:textId="6A8D1477" w:rsidR="00315F49" w:rsidRPr="00E960C9" w:rsidRDefault="00315F49"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Broadcasting daily governmental </w:t>
      </w:r>
      <w:r w:rsidR="00EE0C9E" w:rsidRPr="00E960C9">
        <w:rPr>
          <w:rFonts w:eastAsia="Calibri"/>
          <w:sz w:val="22"/>
          <w:szCs w:val="22"/>
        </w:rPr>
        <w:t>briefings</w:t>
      </w:r>
      <w:r w:rsidR="003071F8" w:rsidRPr="00E960C9">
        <w:rPr>
          <w:rFonts w:eastAsia="Calibri"/>
          <w:sz w:val="22"/>
          <w:szCs w:val="22"/>
        </w:rPr>
        <w:t xml:space="preserve"> with sign language translation</w:t>
      </w:r>
    </w:p>
    <w:p w14:paraId="0A2E2BEE" w14:textId="3B8CF5EB" w:rsidR="003071F8" w:rsidRPr="00E960C9" w:rsidRDefault="003071F8"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Regular consultations with civil sector and international </w:t>
      </w:r>
      <w:r w:rsidR="00C0157F" w:rsidRPr="00E960C9">
        <w:rPr>
          <w:rFonts w:eastAsia="Calibri"/>
          <w:sz w:val="22"/>
          <w:szCs w:val="22"/>
        </w:rPr>
        <w:t>organisation</w:t>
      </w:r>
      <w:r w:rsidRPr="00E960C9">
        <w:rPr>
          <w:rFonts w:eastAsia="Calibri"/>
          <w:sz w:val="22"/>
          <w:szCs w:val="22"/>
        </w:rPr>
        <w:t>s;</w:t>
      </w:r>
    </w:p>
    <w:p w14:paraId="4AD9ECB2" w14:textId="689B637A" w:rsidR="003071F8" w:rsidRPr="00E960C9" w:rsidRDefault="003071F8"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Implementation of strict policy against violence against women and </w:t>
      </w:r>
      <w:r w:rsidR="009E010D" w:rsidRPr="00E960C9">
        <w:rPr>
          <w:rFonts w:eastAsia="Calibri"/>
          <w:sz w:val="22"/>
          <w:szCs w:val="22"/>
        </w:rPr>
        <w:t>DV</w:t>
      </w:r>
      <w:r w:rsidRPr="00E960C9">
        <w:rPr>
          <w:rFonts w:eastAsia="Calibri"/>
          <w:sz w:val="22"/>
          <w:szCs w:val="22"/>
        </w:rPr>
        <w:t>;</w:t>
      </w:r>
    </w:p>
    <w:p w14:paraId="0E83C176" w14:textId="6BA87C00" w:rsidR="003071F8" w:rsidRPr="00E960C9" w:rsidRDefault="009E010D"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Non-stop provision of free services to the victims of violence against women and DV, including </w:t>
      </w:r>
      <w:r w:rsidR="004D0BA4" w:rsidRPr="00E960C9">
        <w:rPr>
          <w:rFonts w:eastAsia="Calibri"/>
          <w:sz w:val="22"/>
          <w:szCs w:val="22"/>
        </w:rPr>
        <w:t xml:space="preserve">the </w:t>
      </w:r>
      <w:r w:rsidRPr="00E960C9">
        <w:rPr>
          <w:rFonts w:eastAsia="Calibri"/>
          <w:sz w:val="22"/>
          <w:szCs w:val="22"/>
        </w:rPr>
        <w:t>functioning of shelters and crisis centres</w:t>
      </w:r>
    </w:p>
    <w:p w14:paraId="0D036694" w14:textId="59855039" w:rsidR="009E010D" w:rsidRPr="00E960C9" w:rsidRDefault="009E010D"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Cooperation with DPOs and representatives of </w:t>
      </w:r>
      <w:proofErr w:type="spellStart"/>
      <w:r w:rsidRPr="00E960C9">
        <w:rPr>
          <w:rFonts w:eastAsia="Calibri"/>
          <w:sz w:val="22"/>
          <w:szCs w:val="22"/>
        </w:rPr>
        <w:t>PwD</w:t>
      </w:r>
      <w:proofErr w:type="spellEnd"/>
      <w:r w:rsidRPr="00E960C9">
        <w:rPr>
          <w:rFonts w:eastAsia="Calibri"/>
          <w:sz w:val="22"/>
          <w:szCs w:val="22"/>
        </w:rPr>
        <w:t xml:space="preserve"> community; </w:t>
      </w:r>
    </w:p>
    <w:p w14:paraId="6A6393B7" w14:textId="38047D54" w:rsidR="009E010D" w:rsidRPr="00E960C9" w:rsidRDefault="009E010D" w:rsidP="00904117">
      <w:pPr>
        <w:pStyle w:val="ListParagraph"/>
        <w:numPr>
          <w:ilvl w:val="0"/>
          <w:numId w:val="19"/>
        </w:numPr>
        <w:spacing w:before="120" w:after="120"/>
        <w:jc w:val="both"/>
        <w:rPr>
          <w:rFonts w:eastAsia="Calibri"/>
          <w:sz w:val="22"/>
          <w:szCs w:val="22"/>
        </w:rPr>
      </w:pPr>
      <w:r w:rsidRPr="00E960C9">
        <w:rPr>
          <w:rFonts w:eastAsia="Calibri"/>
          <w:sz w:val="22"/>
          <w:szCs w:val="22"/>
        </w:rPr>
        <w:t>Protection of rights of children;</w:t>
      </w:r>
    </w:p>
    <w:p w14:paraId="1F48C44D" w14:textId="17BF0DE3" w:rsidR="009E010D" w:rsidRPr="00E960C9" w:rsidRDefault="009E010D"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Access to livelihood by ethnic, religious and sexual minority communities; </w:t>
      </w:r>
    </w:p>
    <w:p w14:paraId="178472AB" w14:textId="68DA1CAF" w:rsidR="00301DC4" w:rsidRPr="00E960C9" w:rsidRDefault="007F2829"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Expansion of home-care services for </w:t>
      </w:r>
      <w:r w:rsidR="004D0BA4" w:rsidRPr="00E960C9">
        <w:rPr>
          <w:rFonts w:eastAsia="Calibri"/>
          <w:sz w:val="22"/>
          <w:szCs w:val="22"/>
        </w:rPr>
        <w:t xml:space="preserve">the </w:t>
      </w:r>
      <w:r w:rsidRPr="00E960C9">
        <w:rPr>
          <w:rFonts w:eastAsia="Calibri"/>
          <w:sz w:val="22"/>
          <w:szCs w:val="22"/>
        </w:rPr>
        <w:t>elderly;</w:t>
      </w:r>
    </w:p>
    <w:p w14:paraId="3538CDE0" w14:textId="085EE0C9" w:rsidR="007F2829" w:rsidRPr="00E960C9" w:rsidRDefault="007F2829" w:rsidP="00904117">
      <w:pPr>
        <w:pStyle w:val="ListParagraph"/>
        <w:numPr>
          <w:ilvl w:val="0"/>
          <w:numId w:val="19"/>
        </w:numPr>
        <w:spacing w:before="120" w:after="120"/>
        <w:jc w:val="both"/>
        <w:rPr>
          <w:rFonts w:eastAsia="Calibri"/>
          <w:sz w:val="22"/>
          <w:szCs w:val="22"/>
        </w:rPr>
      </w:pPr>
      <w:r w:rsidRPr="00E960C9">
        <w:rPr>
          <w:rFonts w:eastAsia="Calibri"/>
          <w:sz w:val="22"/>
          <w:szCs w:val="22"/>
        </w:rPr>
        <w:t>Protection of rights of persons living on the occupied territories;</w:t>
      </w:r>
    </w:p>
    <w:p w14:paraId="3AE237BE" w14:textId="650C0F5C" w:rsidR="007F2829" w:rsidRPr="00E960C9" w:rsidRDefault="00BF6854"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Protection of rights of </w:t>
      </w:r>
      <w:r w:rsidR="00EE0C9E" w:rsidRPr="00E960C9">
        <w:rPr>
          <w:rFonts w:eastAsia="Calibri"/>
          <w:sz w:val="22"/>
          <w:szCs w:val="22"/>
        </w:rPr>
        <w:t>Georgian</w:t>
      </w:r>
      <w:r w:rsidRPr="00E960C9">
        <w:rPr>
          <w:rFonts w:eastAsia="Calibri"/>
          <w:sz w:val="22"/>
          <w:szCs w:val="22"/>
        </w:rPr>
        <w:t xml:space="preserve"> citizens </w:t>
      </w:r>
      <w:r w:rsidR="00EE0C9E" w:rsidRPr="00E960C9">
        <w:rPr>
          <w:rFonts w:eastAsia="Calibri"/>
          <w:sz w:val="22"/>
          <w:szCs w:val="22"/>
        </w:rPr>
        <w:t>living</w:t>
      </w:r>
      <w:r w:rsidRPr="00E960C9">
        <w:rPr>
          <w:rFonts w:eastAsia="Calibri"/>
          <w:sz w:val="22"/>
          <w:szCs w:val="22"/>
        </w:rPr>
        <w:t xml:space="preserve"> </w:t>
      </w:r>
      <w:r w:rsidR="00EE0C9E" w:rsidRPr="00E960C9">
        <w:rPr>
          <w:rFonts w:eastAsia="Calibri"/>
          <w:sz w:val="22"/>
          <w:szCs w:val="22"/>
        </w:rPr>
        <w:t>abroad</w:t>
      </w:r>
      <w:r w:rsidRPr="00E960C9">
        <w:rPr>
          <w:rFonts w:eastAsia="Calibri"/>
          <w:sz w:val="22"/>
          <w:szCs w:val="22"/>
        </w:rPr>
        <w:t>;</w:t>
      </w:r>
    </w:p>
    <w:p w14:paraId="37DC1467" w14:textId="5E965A8C" w:rsidR="00BF6854" w:rsidRPr="00E960C9" w:rsidRDefault="0058623C" w:rsidP="00904117">
      <w:pPr>
        <w:pStyle w:val="ListParagraph"/>
        <w:numPr>
          <w:ilvl w:val="0"/>
          <w:numId w:val="19"/>
        </w:numPr>
        <w:spacing w:before="120" w:after="120"/>
        <w:jc w:val="both"/>
        <w:rPr>
          <w:rFonts w:eastAsia="Calibri"/>
          <w:sz w:val="22"/>
          <w:szCs w:val="22"/>
        </w:rPr>
      </w:pPr>
      <w:r w:rsidRPr="00E960C9">
        <w:rPr>
          <w:rFonts w:eastAsia="Calibri"/>
          <w:sz w:val="22"/>
          <w:szCs w:val="22"/>
        </w:rPr>
        <w:t xml:space="preserve">Protection of rights of refugees and asylum seekers </w:t>
      </w:r>
      <w:r w:rsidR="00B1110C" w:rsidRPr="00E960C9">
        <w:rPr>
          <w:rFonts w:eastAsia="Calibri"/>
          <w:sz w:val="22"/>
          <w:szCs w:val="22"/>
        </w:rPr>
        <w:t>living in Georgia</w:t>
      </w:r>
      <w:r w:rsidR="006666E4" w:rsidRPr="00E960C9">
        <w:rPr>
          <w:rFonts w:eastAsia="Calibri"/>
          <w:sz w:val="22"/>
          <w:szCs w:val="22"/>
        </w:rPr>
        <w:t>.</w:t>
      </w:r>
    </w:p>
    <w:p w14:paraId="5680648F" w14:textId="44EC18DA" w:rsidR="00293BEF" w:rsidRPr="00E960C9" w:rsidRDefault="00D00EC8" w:rsidP="00904117">
      <w:pPr>
        <w:spacing w:before="120" w:after="120"/>
        <w:jc w:val="both"/>
        <w:rPr>
          <w:rFonts w:eastAsia="Calibri"/>
          <w:sz w:val="22"/>
          <w:szCs w:val="22"/>
        </w:rPr>
      </w:pPr>
      <w:r w:rsidRPr="00E960C9">
        <w:rPr>
          <w:rFonts w:eastAsia="Calibri"/>
          <w:sz w:val="22"/>
          <w:szCs w:val="22"/>
        </w:rPr>
        <w:t xml:space="preserve">From the outset of the crisis, daily </w:t>
      </w:r>
      <w:r w:rsidR="00EE0C9E" w:rsidRPr="00E960C9">
        <w:rPr>
          <w:rFonts w:eastAsia="Calibri"/>
          <w:sz w:val="22"/>
          <w:szCs w:val="22"/>
        </w:rPr>
        <w:t>governmental</w:t>
      </w:r>
      <w:r w:rsidRPr="00E960C9">
        <w:rPr>
          <w:rFonts w:eastAsia="Calibri"/>
          <w:sz w:val="22"/>
          <w:szCs w:val="22"/>
        </w:rPr>
        <w:t xml:space="preserve"> </w:t>
      </w:r>
      <w:r w:rsidR="00EE0C9E" w:rsidRPr="00E960C9">
        <w:rPr>
          <w:rFonts w:eastAsia="Calibri"/>
          <w:sz w:val="22"/>
          <w:szCs w:val="22"/>
        </w:rPr>
        <w:t xml:space="preserve">briefings </w:t>
      </w:r>
      <w:r w:rsidRPr="00E960C9">
        <w:rPr>
          <w:rFonts w:eastAsia="Calibri"/>
          <w:sz w:val="22"/>
          <w:szCs w:val="22"/>
        </w:rPr>
        <w:t xml:space="preserve">were held to provide information to the </w:t>
      </w:r>
      <w:r w:rsidR="00EE0C9E" w:rsidRPr="00E960C9">
        <w:rPr>
          <w:rFonts w:eastAsia="Calibri"/>
          <w:sz w:val="22"/>
          <w:szCs w:val="22"/>
        </w:rPr>
        <w:t>population</w:t>
      </w:r>
      <w:r w:rsidRPr="00E960C9">
        <w:rPr>
          <w:rFonts w:eastAsia="Calibri"/>
          <w:sz w:val="22"/>
          <w:szCs w:val="22"/>
        </w:rPr>
        <w:t xml:space="preserve">. The specialists of the field, ministers and the </w:t>
      </w:r>
      <w:r w:rsidR="004D0BA4" w:rsidRPr="00E960C9">
        <w:rPr>
          <w:rFonts w:eastAsia="Calibri"/>
          <w:sz w:val="22"/>
          <w:szCs w:val="22"/>
        </w:rPr>
        <w:t>P</w:t>
      </w:r>
      <w:r w:rsidRPr="00E960C9">
        <w:rPr>
          <w:rFonts w:eastAsia="Calibri"/>
          <w:sz w:val="22"/>
          <w:szCs w:val="22"/>
        </w:rPr>
        <w:t>rim</w:t>
      </w:r>
      <w:r w:rsidR="004D0BA4" w:rsidRPr="00E960C9">
        <w:rPr>
          <w:rFonts w:eastAsia="Calibri"/>
          <w:sz w:val="22"/>
          <w:szCs w:val="22"/>
        </w:rPr>
        <w:t>e M</w:t>
      </w:r>
      <w:r w:rsidRPr="00E960C9">
        <w:rPr>
          <w:rFonts w:eastAsia="Calibri"/>
          <w:sz w:val="22"/>
          <w:szCs w:val="22"/>
        </w:rPr>
        <w:t xml:space="preserve">inister participated in these </w:t>
      </w:r>
      <w:r w:rsidR="00EE0C9E" w:rsidRPr="00E960C9">
        <w:rPr>
          <w:rFonts w:eastAsia="Calibri"/>
          <w:sz w:val="22"/>
          <w:szCs w:val="22"/>
        </w:rPr>
        <w:t>briefings</w:t>
      </w:r>
      <w:r w:rsidRPr="00E960C9">
        <w:rPr>
          <w:rFonts w:eastAsia="Calibri"/>
          <w:sz w:val="22"/>
          <w:szCs w:val="22"/>
        </w:rPr>
        <w:t xml:space="preserve">. </w:t>
      </w:r>
    </w:p>
    <w:p w14:paraId="26EB66F3" w14:textId="34859086" w:rsidR="00D920F9" w:rsidRPr="00E960C9" w:rsidRDefault="00537B54" w:rsidP="00904117">
      <w:pPr>
        <w:spacing w:before="120" w:after="120"/>
        <w:jc w:val="both"/>
        <w:rPr>
          <w:rFonts w:eastAsia="Calibri"/>
          <w:sz w:val="22"/>
          <w:szCs w:val="22"/>
        </w:rPr>
      </w:pPr>
      <w:r w:rsidRPr="00E960C9">
        <w:rPr>
          <w:rFonts w:eastAsia="Calibri"/>
          <w:sz w:val="22"/>
          <w:szCs w:val="22"/>
        </w:rPr>
        <w:t xml:space="preserve">To ensure that </w:t>
      </w:r>
      <w:proofErr w:type="spellStart"/>
      <w:r w:rsidRPr="00E960C9">
        <w:rPr>
          <w:rFonts w:eastAsia="Calibri"/>
          <w:sz w:val="22"/>
          <w:szCs w:val="22"/>
        </w:rPr>
        <w:t>PwDs</w:t>
      </w:r>
      <w:proofErr w:type="spellEnd"/>
      <w:r w:rsidRPr="00E960C9">
        <w:rPr>
          <w:rFonts w:eastAsia="Calibri"/>
          <w:sz w:val="22"/>
          <w:szCs w:val="22"/>
        </w:rPr>
        <w:t xml:space="preserve"> have </w:t>
      </w:r>
      <w:r w:rsidR="00433253" w:rsidRPr="00E960C9">
        <w:rPr>
          <w:rFonts w:eastAsia="Calibri"/>
          <w:sz w:val="22"/>
          <w:szCs w:val="22"/>
        </w:rPr>
        <w:t xml:space="preserve">timely </w:t>
      </w:r>
      <w:r w:rsidRPr="00E960C9">
        <w:rPr>
          <w:rFonts w:eastAsia="Calibri"/>
          <w:sz w:val="22"/>
          <w:szCs w:val="22"/>
        </w:rPr>
        <w:t xml:space="preserve">access to information on </w:t>
      </w:r>
      <w:r w:rsidR="001B08C9" w:rsidRPr="00E960C9">
        <w:rPr>
          <w:rFonts w:eastAsia="Calibri"/>
          <w:sz w:val="22"/>
          <w:szCs w:val="22"/>
        </w:rPr>
        <w:t xml:space="preserve">the </w:t>
      </w:r>
      <w:r w:rsidRPr="00E960C9">
        <w:rPr>
          <w:rFonts w:eastAsia="Calibri"/>
          <w:sz w:val="22"/>
          <w:szCs w:val="22"/>
        </w:rPr>
        <w:t>pandemic, the</w:t>
      </w:r>
      <w:r w:rsidR="00DC738C" w:rsidRPr="00E960C9">
        <w:rPr>
          <w:rFonts w:eastAsia="Calibri"/>
          <w:sz w:val="22"/>
          <w:szCs w:val="22"/>
        </w:rPr>
        <w:t xml:space="preserve"> governmental </w:t>
      </w:r>
      <w:r w:rsidR="00EE0C9E" w:rsidRPr="00E960C9">
        <w:rPr>
          <w:rFonts w:eastAsia="Calibri"/>
          <w:sz w:val="22"/>
          <w:szCs w:val="22"/>
        </w:rPr>
        <w:t>briefings</w:t>
      </w:r>
      <w:r w:rsidR="00DC738C" w:rsidRPr="00E960C9">
        <w:rPr>
          <w:rFonts w:eastAsia="Calibri"/>
          <w:sz w:val="22"/>
          <w:szCs w:val="22"/>
        </w:rPr>
        <w:t xml:space="preserve"> were </w:t>
      </w:r>
      <w:r w:rsidR="00EE0C9E" w:rsidRPr="00E960C9">
        <w:rPr>
          <w:rFonts w:eastAsia="Calibri"/>
          <w:sz w:val="22"/>
          <w:szCs w:val="22"/>
        </w:rPr>
        <w:t>broadcasted</w:t>
      </w:r>
      <w:r w:rsidR="00DC738C" w:rsidRPr="00E960C9">
        <w:rPr>
          <w:rFonts w:eastAsia="Calibri"/>
          <w:sz w:val="22"/>
          <w:szCs w:val="22"/>
        </w:rPr>
        <w:t xml:space="preserve"> with sign language translation. The information was translated in</w:t>
      </w:r>
      <w:r w:rsidR="004D0BA4" w:rsidRPr="00E960C9">
        <w:rPr>
          <w:rFonts w:eastAsia="Calibri"/>
          <w:sz w:val="22"/>
          <w:szCs w:val="22"/>
        </w:rPr>
        <w:t>to</w:t>
      </w:r>
      <w:r w:rsidR="00DC738C" w:rsidRPr="00E960C9">
        <w:rPr>
          <w:rFonts w:eastAsia="Calibri"/>
          <w:sz w:val="22"/>
          <w:szCs w:val="22"/>
        </w:rPr>
        <w:t xml:space="preserve"> minority languages as well.</w:t>
      </w:r>
    </w:p>
    <w:p w14:paraId="63E9AD6C" w14:textId="7EBC25CE" w:rsidR="00DC738C" w:rsidRPr="00E960C9" w:rsidRDefault="00BF24D0" w:rsidP="00904117">
      <w:pPr>
        <w:spacing w:before="120" w:after="120"/>
        <w:jc w:val="both"/>
        <w:rPr>
          <w:rFonts w:eastAsia="Calibri"/>
          <w:sz w:val="22"/>
          <w:szCs w:val="22"/>
        </w:rPr>
      </w:pPr>
      <w:r w:rsidRPr="00E960C9">
        <w:rPr>
          <w:rFonts w:eastAsia="Calibri"/>
          <w:sz w:val="22"/>
          <w:szCs w:val="22"/>
        </w:rPr>
        <w:t xml:space="preserve">The special governmental portal on COVID-19 - </w:t>
      </w:r>
      <w:hyperlink r:id="rId11" w:history="1">
        <w:r w:rsidRPr="00E960C9">
          <w:rPr>
            <w:rStyle w:val="Hyperlink"/>
            <w:rFonts w:eastAsia="Calibri"/>
            <w:sz w:val="22"/>
            <w:szCs w:val="22"/>
          </w:rPr>
          <w:t>www.StopCov.ge-</w:t>
        </w:r>
      </w:hyperlink>
      <w:r w:rsidRPr="00E960C9">
        <w:rPr>
          <w:rFonts w:eastAsia="Calibri"/>
          <w:sz w:val="22"/>
          <w:szCs w:val="22"/>
        </w:rPr>
        <w:t xml:space="preserve"> is fully accessible in 6 languages, </w:t>
      </w:r>
      <w:r w:rsidR="00EE0C9E" w:rsidRPr="00E960C9">
        <w:rPr>
          <w:rFonts w:eastAsia="Calibri"/>
          <w:sz w:val="22"/>
          <w:szCs w:val="22"/>
        </w:rPr>
        <w:t>namely</w:t>
      </w:r>
      <w:r w:rsidRPr="00E960C9">
        <w:rPr>
          <w:rFonts w:eastAsia="Calibri"/>
          <w:sz w:val="22"/>
          <w:szCs w:val="22"/>
        </w:rPr>
        <w:t xml:space="preserve"> in </w:t>
      </w:r>
      <w:r w:rsidR="00EE0C9E" w:rsidRPr="00E960C9">
        <w:rPr>
          <w:rFonts w:eastAsia="Calibri"/>
          <w:sz w:val="22"/>
          <w:szCs w:val="22"/>
        </w:rPr>
        <w:t>Georgian</w:t>
      </w:r>
      <w:r w:rsidRPr="00E960C9">
        <w:rPr>
          <w:rFonts w:eastAsia="Calibri"/>
          <w:sz w:val="22"/>
          <w:szCs w:val="22"/>
        </w:rPr>
        <w:t xml:space="preserve">, </w:t>
      </w:r>
      <w:r w:rsidR="00EE0C9E" w:rsidRPr="00E960C9">
        <w:rPr>
          <w:rFonts w:eastAsia="Calibri"/>
          <w:sz w:val="22"/>
          <w:szCs w:val="22"/>
        </w:rPr>
        <w:t>Abkhaz</w:t>
      </w:r>
      <w:r w:rsidRPr="00E960C9">
        <w:rPr>
          <w:rFonts w:eastAsia="Calibri"/>
          <w:sz w:val="22"/>
          <w:szCs w:val="22"/>
        </w:rPr>
        <w:t xml:space="preserve">, </w:t>
      </w:r>
      <w:proofErr w:type="spellStart"/>
      <w:r w:rsidR="00EE0C9E" w:rsidRPr="00E960C9">
        <w:rPr>
          <w:rFonts w:eastAsia="Calibri"/>
          <w:sz w:val="22"/>
          <w:szCs w:val="22"/>
        </w:rPr>
        <w:t>O</w:t>
      </w:r>
      <w:r w:rsidRPr="00E960C9">
        <w:rPr>
          <w:rFonts w:eastAsia="Calibri"/>
          <w:sz w:val="22"/>
          <w:szCs w:val="22"/>
        </w:rPr>
        <w:t>ssetian</w:t>
      </w:r>
      <w:proofErr w:type="spellEnd"/>
      <w:r w:rsidRPr="00E960C9">
        <w:rPr>
          <w:rFonts w:eastAsia="Calibri"/>
          <w:sz w:val="22"/>
          <w:szCs w:val="22"/>
        </w:rPr>
        <w:t xml:space="preserve">, English, Armenian and Azerbaijan languages. The information videos </w:t>
      </w:r>
      <w:r w:rsidR="00392E82" w:rsidRPr="00E960C9">
        <w:rPr>
          <w:rFonts w:eastAsia="Calibri"/>
          <w:sz w:val="22"/>
          <w:szCs w:val="22"/>
        </w:rPr>
        <w:t xml:space="preserve">published on the website also have sign language translation. </w:t>
      </w:r>
    </w:p>
    <w:p w14:paraId="22A3E5AC" w14:textId="77777777" w:rsidR="004D0BA4" w:rsidRPr="00E960C9" w:rsidRDefault="004D0BA4" w:rsidP="004D0BA4">
      <w:pPr>
        <w:spacing w:before="120" w:after="120"/>
        <w:jc w:val="both"/>
        <w:rPr>
          <w:rFonts w:eastAsia="Calibri"/>
          <w:sz w:val="22"/>
          <w:szCs w:val="22"/>
        </w:rPr>
      </w:pPr>
      <w:r w:rsidRPr="00E960C9">
        <w:rPr>
          <w:rFonts w:eastAsia="Calibri"/>
          <w:sz w:val="22"/>
          <w:szCs w:val="22"/>
        </w:rPr>
        <w:t xml:space="preserve">The SMS system was used for disseminating information among the general public, including in minority languages. </w:t>
      </w:r>
    </w:p>
    <w:p w14:paraId="04AECE08" w14:textId="29C3028D" w:rsidR="004D0BA4" w:rsidRPr="00E960C9" w:rsidRDefault="004D0BA4" w:rsidP="004D0BA4">
      <w:pPr>
        <w:spacing w:before="120" w:after="120"/>
        <w:jc w:val="both"/>
        <w:rPr>
          <w:rFonts w:eastAsia="Calibri"/>
          <w:sz w:val="22"/>
          <w:szCs w:val="22"/>
        </w:rPr>
      </w:pPr>
      <w:r w:rsidRPr="00E960C9">
        <w:rPr>
          <w:rFonts w:eastAsia="Calibri"/>
          <w:sz w:val="22"/>
          <w:szCs w:val="22"/>
        </w:rPr>
        <w:t xml:space="preserve">Several coordination platforms, including within the framework of the HRC, were created to ensure efficient platforms for consultations with civil society, international </w:t>
      </w:r>
      <w:r w:rsidR="00C0157F" w:rsidRPr="00E960C9">
        <w:rPr>
          <w:rFonts w:eastAsia="Calibri"/>
          <w:sz w:val="22"/>
          <w:szCs w:val="22"/>
        </w:rPr>
        <w:t>organisation</w:t>
      </w:r>
      <w:r w:rsidRPr="00E960C9">
        <w:rPr>
          <w:rFonts w:eastAsia="Calibri"/>
          <w:sz w:val="22"/>
          <w:szCs w:val="22"/>
        </w:rPr>
        <w:t xml:space="preserve">s and representatives of the community. </w:t>
      </w:r>
    </w:p>
    <w:p w14:paraId="2F941089" w14:textId="464E79DA" w:rsidR="00392E82" w:rsidRPr="00E960C9" w:rsidRDefault="004D0BA4" w:rsidP="004D0BA4">
      <w:pPr>
        <w:spacing w:before="120" w:after="120"/>
        <w:jc w:val="both"/>
        <w:rPr>
          <w:rFonts w:eastAsia="Calibri"/>
          <w:sz w:val="22"/>
          <w:szCs w:val="22"/>
        </w:rPr>
      </w:pPr>
      <w:r w:rsidRPr="00E960C9">
        <w:rPr>
          <w:rFonts w:eastAsia="Calibri"/>
          <w:sz w:val="22"/>
          <w:szCs w:val="22"/>
        </w:rPr>
        <w:t xml:space="preserve">The Government also effectively disseminated information concerning the alternative means for communication on violence against women and DV, e.g. using the mobile application of 112. The latter has chat function and silent alarm (SOS) sending functionality. </w:t>
      </w:r>
    </w:p>
    <w:p w14:paraId="4746A3EA" w14:textId="43C90367" w:rsidR="000463D7" w:rsidRPr="00E960C9" w:rsidRDefault="000463D7" w:rsidP="00904117">
      <w:pPr>
        <w:spacing w:before="120" w:after="120"/>
        <w:jc w:val="both"/>
        <w:rPr>
          <w:rFonts w:eastAsia="Calibri"/>
          <w:sz w:val="22"/>
          <w:szCs w:val="22"/>
        </w:rPr>
      </w:pPr>
      <w:r w:rsidRPr="00E960C9">
        <w:rPr>
          <w:rFonts w:eastAsia="Calibri"/>
          <w:sz w:val="22"/>
          <w:szCs w:val="22"/>
        </w:rPr>
        <w:t xml:space="preserve">During the crisis, the victims of </w:t>
      </w:r>
      <w:r w:rsidR="007F0714" w:rsidRPr="00E960C9">
        <w:rPr>
          <w:rFonts w:eastAsia="Calibri"/>
          <w:sz w:val="22"/>
          <w:szCs w:val="22"/>
        </w:rPr>
        <w:t xml:space="preserve">violence against women and DV had </w:t>
      </w:r>
      <w:r w:rsidR="00015A67" w:rsidRPr="00E960C9">
        <w:rPr>
          <w:rFonts w:eastAsia="Calibri"/>
          <w:sz w:val="22"/>
          <w:szCs w:val="22"/>
        </w:rPr>
        <w:t xml:space="preserve">uninterrupted </w:t>
      </w:r>
      <w:r w:rsidR="007F0714" w:rsidRPr="00E960C9">
        <w:rPr>
          <w:rFonts w:eastAsia="Calibri"/>
          <w:sz w:val="22"/>
          <w:szCs w:val="22"/>
        </w:rPr>
        <w:t>access to free services</w:t>
      </w:r>
      <w:r w:rsidR="00AD3C93" w:rsidRPr="00E960C9">
        <w:rPr>
          <w:rFonts w:eastAsia="Calibri"/>
          <w:sz w:val="22"/>
          <w:szCs w:val="22"/>
        </w:rPr>
        <w:t>.</w:t>
      </w:r>
    </w:p>
    <w:p w14:paraId="6F89E9F5" w14:textId="06D38829" w:rsidR="003E3AC8" w:rsidRPr="00E960C9" w:rsidRDefault="003E3AC8" w:rsidP="00904117">
      <w:pPr>
        <w:spacing w:before="120" w:after="120"/>
        <w:jc w:val="both"/>
        <w:rPr>
          <w:rFonts w:eastAsia="Calibri"/>
          <w:sz w:val="22"/>
          <w:szCs w:val="22"/>
        </w:rPr>
      </w:pPr>
      <w:r w:rsidRPr="00E960C9">
        <w:rPr>
          <w:rFonts w:eastAsia="Calibri"/>
          <w:sz w:val="22"/>
          <w:szCs w:val="22"/>
        </w:rPr>
        <w:t xml:space="preserve">Since March 20, 2020, the governmental </w:t>
      </w:r>
      <w:r w:rsidR="00EE0C9E" w:rsidRPr="00E960C9">
        <w:rPr>
          <w:rFonts w:eastAsia="Calibri"/>
          <w:sz w:val="22"/>
          <w:szCs w:val="22"/>
        </w:rPr>
        <w:t>briefings</w:t>
      </w:r>
      <w:r w:rsidRPr="00E960C9">
        <w:rPr>
          <w:rFonts w:eastAsia="Calibri"/>
          <w:sz w:val="22"/>
          <w:szCs w:val="22"/>
        </w:rPr>
        <w:t xml:space="preserve"> are broadcasted with sign language translation. To ensure access to information for persons with hearing </w:t>
      </w:r>
      <w:r w:rsidR="00EE0C9E" w:rsidRPr="00E960C9">
        <w:rPr>
          <w:rFonts w:eastAsia="Calibri"/>
          <w:sz w:val="22"/>
          <w:szCs w:val="22"/>
        </w:rPr>
        <w:t>impairments</w:t>
      </w:r>
      <w:r w:rsidRPr="00E960C9">
        <w:rPr>
          <w:rFonts w:eastAsia="Calibri"/>
          <w:sz w:val="22"/>
          <w:szCs w:val="22"/>
        </w:rPr>
        <w:t xml:space="preserve"> who do not know sign language, together with the </w:t>
      </w:r>
      <w:r w:rsidR="00EE0C9E" w:rsidRPr="00E960C9">
        <w:rPr>
          <w:rFonts w:eastAsia="Calibri"/>
          <w:sz w:val="22"/>
          <w:szCs w:val="22"/>
        </w:rPr>
        <w:t>representatives</w:t>
      </w:r>
      <w:r w:rsidRPr="00E960C9">
        <w:rPr>
          <w:rFonts w:eastAsia="Calibri"/>
          <w:sz w:val="22"/>
          <w:szCs w:val="22"/>
        </w:rPr>
        <w:t xml:space="preserve"> of the relevant community it was decided to upload the text of the </w:t>
      </w:r>
      <w:r w:rsidR="00EE0C9E" w:rsidRPr="00E960C9">
        <w:rPr>
          <w:rFonts w:eastAsia="Calibri"/>
          <w:sz w:val="22"/>
          <w:szCs w:val="22"/>
        </w:rPr>
        <w:t>briefings</w:t>
      </w:r>
      <w:r w:rsidRPr="00E960C9">
        <w:rPr>
          <w:rFonts w:eastAsia="Calibri"/>
          <w:sz w:val="22"/>
          <w:szCs w:val="22"/>
        </w:rPr>
        <w:t xml:space="preserve"> are uploaded on the social media of the GOG.</w:t>
      </w:r>
      <w:r w:rsidR="00285C21" w:rsidRPr="00E960C9">
        <w:rPr>
          <w:rFonts w:eastAsia="Calibri"/>
          <w:sz w:val="22"/>
          <w:szCs w:val="22"/>
        </w:rPr>
        <w:t xml:space="preserve"> The information is disseminated via alternative video sources, namely hotlines. It is noteworthy that 112 hotline has </w:t>
      </w:r>
      <w:proofErr w:type="spellStart"/>
      <w:r w:rsidR="00285C21" w:rsidRPr="00E960C9">
        <w:rPr>
          <w:rFonts w:eastAsia="Calibri"/>
          <w:sz w:val="22"/>
          <w:szCs w:val="22"/>
        </w:rPr>
        <w:t>videocall</w:t>
      </w:r>
      <w:proofErr w:type="spellEnd"/>
      <w:r w:rsidR="00285C21" w:rsidRPr="00E960C9">
        <w:rPr>
          <w:rFonts w:eastAsia="Calibri"/>
          <w:sz w:val="22"/>
          <w:szCs w:val="22"/>
        </w:rPr>
        <w:t xml:space="preserve"> and SMS options. </w:t>
      </w:r>
    </w:p>
    <w:p w14:paraId="02D4B8C1" w14:textId="77777777" w:rsidR="004D0BA4" w:rsidRPr="00E960C9" w:rsidRDefault="004D0BA4" w:rsidP="004D0BA4">
      <w:pPr>
        <w:spacing w:before="120" w:after="120"/>
        <w:jc w:val="both"/>
        <w:rPr>
          <w:rFonts w:eastAsia="Calibri"/>
          <w:sz w:val="22"/>
          <w:szCs w:val="22"/>
        </w:rPr>
      </w:pPr>
      <w:r w:rsidRPr="00E960C9">
        <w:rPr>
          <w:rFonts w:eastAsia="Calibri"/>
          <w:sz w:val="22"/>
          <w:szCs w:val="22"/>
        </w:rPr>
        <w:lastRenderedPageBreak/>
        <w:t xml:space="preserve">Treatment of COVID-10 is accessible for any person on the territory of Georgia without segregation and discrimination. </w:t>
      </w:r>
    </w:p>
    <w:p w14:paraId="78A84EE7" w14:textId="4FE9BD89" w:rsidR="0097150C" w:rsidRPr="00E960C9" w:rsidRDefault="004D0BA4" w:rsidP="004D0BA4">
      <w:pPr>
        <w:spacing w:before="120" w:after="120"/>
        <w:jc w:val="both"/>
        <w:rPr>
          <w:rFonts w:eastAsia="Calibri"/>
          <w:sz w:val="22"/>
          <w:szCs w:val="22"/>
        </w:rPr>
      </w:pPr>
      <w:r w:rsidRPr="00E960C9">
        <w:rPr>
          <w:rFonts w:eastAsia="Calibri"/>
          <w:sz w:val="22"/>
          <w:szCs w:val="22"/>
        </w:rPr>
        <w:t xml:space="preserve">Children with disabilities have online access to specific services. Beneficiaries of day centres received food vouchers. The home-care programmes were expanded, increasing the engagement of </w:t>
      </w:r>
      <w:proofErr w:type="spellStart"/>
      <w:r w:rsidRPr="00E960C9">
        <w:rPr>
          <w:rFonts w:eastAsia="Calibri"/>
          <w:sz w:val="22"/>
          <w:szCs w:val="22"/>
        </w:rPr>
        <w:t>PwDs</w:t>
      </w:r>
      <w:proofErr w:type="spellEnd"/>
      <w:r w:rsidRPr="00E960C9">
        <w:rPr>
          <w:rFonts w:eastAsia="Calibri"/>
          <w:sz w:val="22"/>
          <w:szCs w:val="22"/>
        </w:rPr>
        <w:t xml:space="preserve">. </w:t>
      </w:r>
    </w:p>
    <w:p w14:paraId="784FA8EF"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In order to protect children living and working in the street from COVID-19 during the crisis, a quarantine facility was opened in Tbilisi. The beneficiaries under the State care are placed there if they are beyond the services, and their contacts cannot be identified. </w:t>
      </w:r>
    </w:p>
    <w:p w14:paraId="2310BEE1"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On March 4, 2020 education process stopped at educational institutions. On March 14, 2020, online learning was launched, and on March 30, the whole education process transferred online.  </w:t>
      </w:r>
    </w:p>
    <w:p w14:paraId="54778080"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Since March 30, 2020, the GOG and the Public Broadcaster jointly launched the project "TV School" that provides live transmission of lessons in line with standards and Programme of the national curriculum. </w:t>
      </w:r>
    </w:p>
    <w:p w14:paraId="07898246"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In May 2020, the Ministry of Education, Science, Culture and Sports launched an educational project "Online School" that offers webinars on major disciplines of the national exams for higher education institutions. </w:t>
      </w:r>
    </w:p>
    <w:p w14:paraId="41576DC1"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higher education institutions also offer online learning. </w:t>
      </w:r>
    </w:p>
    <w:p w14:paraId="521A530A"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information materials on prevention and protection from COVID-19 were regularly translated and disseminated in the regions inhabited by the ethnic minorities. </w:t>
      </w:r>
    </w:p>
    <w:p w14:paraId="56F07CE0"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On March 5, 2020, special conditions were introduced in the penitentiary establishments. According to temporary measures, the accused and convicted persons cannot enjoy the right to short visits, leave the penitentiary facility for a short period in connection with special personal circumstances. The staff of the penitentiary institutions and every person entering the establishments had to undergo medical check-up, thermo-screening and their epidemiological anamnesis were collected. During the crisis, 780 employees of the penitentiary system stayed at the establishments. As a result of the measures, there were no cases of COVID-19 in the penitentiary establishments. </w:t>
      </w:r>
    </w:p>
    <w:p w14:paraId="62F379D6"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On March 12, 2020, the probationers were temporarily released from the duty to appear at the Probation Bureau. The Standing Commission responsible for reviewing the issues related to release on parole, removal of the conviction, restoration of rights deprived by the court conducted its sessions via videoconferencing. </w:t>
      </w:r>
    </w:p>
    <w:p w14:paraId="3195E621"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From the outset of the pandemic, the GOG expressly stated its readiness to support any person on the occupied territories. To ensure access to information, the governmental website was available in Abkhaz and </w:t>
      </w:r>
      <w:proofErr w:type="spellStart"/>
      <w:r w:rsidRPr="00E960C9">
        <w:rPr>
          <w:rFonts w:eastAsia="Calibri"/>
          <w:sz w:val="22"/>
          <w:szCs w:val="22"/>
        </w:rPr>
        <w:t>Ossetian</w:t>
      </w:r>
      <w:proofErr w:type="spellEnd"/>
      <w:r w:rsidRPr="00E960C9">
        <w:rPr>
          <w:rFonts w:eastAsia="Calibri"/>
          <w:sz w:val="22"/>
          <w:szCs w:val="22"/>
        </w:rPr>
        <w:t xml:space="preserve"> languages, the COVID-related briefings, as well as information materials, were also translated in Abkhaz and </w:t>
      </w:r>
      <w:proofErr w:type="spellStart"/>
      <w:r w:rsidRPr="00E960C9">
        <w:rPr>
          <w:rFonts w:eastAsia="Calibri"/>
          <w:sz w:val="22"/>
          <w:szCs w:val="22"/>
        </w:rPr>
        <w:t>Ossetian</w:t>
      </w:r>
      <w:proofErr w:type="spellEnd"/>
      <w:r w:rsidRPr="00E960C9">
        <w:rPr>
          <w:rFonts w:eastAsia="Calibri"/>
          <w:sz w:val="22"/>
          <w:szCs w:val="22"/>
        </w:rPr>
        <w:t xml:space="preserve"> languages. </w:t>
      </w:r>
    </w:p>
    <w:p w14:paraId="5EAA3C3B"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Various personal protective means, equipment and hygiene items were transferred to the Abkhazian region using different channels. This process continues. A field hospital was opened near the </w:t>
      </w:r>
      <w:proofErr w:type="spellStart"/>
      <w:r w:rsidRPr="00E960C9">
        <w:rPr>
          <w:rFonts w:eastAsia="Calibri"/>
          <w:sz w:val="22"/>
          <w:szCs w:val="22"/>
        </w:rPr>
        <w:t>Enguri</w:t>
      </w:r>
      <w:proofErr w:type="spellEnd"/>
      <w:r w:rsidRPr="00E960C9">
        <w:rPr>
          <w:rFonts w:eastAsia="Calibri"/>
          <w:sz w:val="22"/>
          <w:szCs w:val="22"/>
        </w:rPr>
        <w:t xml:space="preserve"> </w:t>
      </w:r>
      <w:proofErr w:type="gramStart"/>
      <w:r w:rsidRPr="00E960C9">
        <w:rPr>
          <w:rFonts w:eastAsia="Calibri"/>
          <w:sz w:val="22"/>
          <w:szCs w:val="22"/>
        </w:rPr>
        <w:t>bridge</w:t>
      </w:r>
      <w:proofErr w:type="gramEnd"/>
      <w:r w:rsidRPr="00E960C9">
        <w:rPr>
          <w:rFonts w:eastAsia="Calibri"/>
          <w:sz w:val="22"/>
          <w:szCs w:val="22"/>
        </w:rPr>
        <w:t xml:space="preserve">. Every patient who crossed the </w:t>
      </w:r>
      <w:proofErr w:type="spellStart"/>
      <w:r w:rsidRPr="00E960C9">
        <w:rPr>
          <w:rFonts w:eastAsia="Calibri"/>
          <w:sz w:val="22"/>
          <w:szCs w:val="22"/>
        </w:rPr>
        <w:t>Enguri</w:t>
      </w:r>
      <w:proofErr w:type="spellEnd"/>
      <w:r w:rsidRPr="00E960C9">
        <w:rPr>
          <w:rFonts w:eastAsia="Calibri"/>
          <w:sz w:val="22"/>
          <w:szCs w:val="22"/>
        </w:rPr>
        <w:t xml:space="preserve"> </w:t>
      </w:r>
      <w:proofErr w:type="gramStart"/>
      <w:r w:rsidRPr="00E960C9">
        <w:rPr>
          <w:rFonts w:eastAsia="Calibri"/>
          <w:sz w:val="22"/>
          <w:szCs w:val="22"/>
        </w:rPr>
        <w:t>bridge</w:t>
      </w:r>
      <w:proofErr w:type="gramEnd"/>
      <w:r w:rsidRPr="00E960C9">
        <w:rPr>
          <w:rFonts w:eastAsia="Calibri"/>
          <w:sz w:val="22"/>
          <w:szCs w:val="22"/>
        </w:rPr>
        <w:t xml:space="preserve"> went through thermo-screening and placed in different medical establishments based on their health condition. </w:t>
      </w:r>
    </w:p>
    <w:p w14:paraId="43D57EC5"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w:t>
      </w:r>
      <w:proofErr w:type="spellStart"/>
      <w:r w:rsidRPr="00E960C9">
        <w:rPr>
          <w:rFonts w:eastAsia="Calibri"/>
          <w:sz w:val="22"/>
          <w:szCs w:val="22"/>
        </w:rPr>
        <w:t>Rukhi</w:t>
      </w:r>
      <w:proofErr w:type="spellEnd"/>
      <w:r w:rsidRPr="00E960C9">
        <w:rPr>
          <w:rFonts w:eastAsia="Calibri"/>
          <w:sz w:val="22"/>
          <w:szCs w:val="22"/>
        </w:rPr>
        <w:t xml:space="preserve"> hospital was equipped and opened that, inter alia, ensures simplified access to medical services to persons living on the occupied territory. </w:t>
      </w:r>
    </w:p>
    <w:p w14:paraId="706D3583" w14:textId="39F9FA39"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From the very beginning of the crisis, the </w:t>
      </w:r>
      <w:r w:rsidR="00000123" w:rsidRPr="00E960C9">
        <w:rPr>
          <w:rFonts w:eastAsia="Calibri"/>
          <w:sz w:val="22"/>
          <w:szCs w:val="22"/>
        </w:rPr>
        <w:t>MFA</w:t>
      </w:r>
      <w:r w:rsidRPr="00E960C9">
        <w:rPr>
          <w:rFonts w:eastAsia="Calibri"/>
          <w:sz w:val="22"/>
          <w:szCs w:val="22"/>
        </w:rPr>
        <w:t xml:space="preserve"> of Georgia provided protection of social and economic rights of Georgian living abroad. </w:t>
      </w:r>
    </w:p>
    <w:p w14:paraId="28AADCA6"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The Georgian embassies provided shelter and essential livelihood items (food and hygiene items) for 21,237 citizens abroad. They also ensured medicines and access to medical services for persons with special needs and health problems. Telephone and online consultations were also used to address individual needs of citizens.</w:t>
      </w:r>
    </w:p>
    <w:p w14:paraId="3DDFA219"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lastRenderedPageBreak/>
        <w:t xml:space="preserve">Online consultation platform was created for citizens abroad wherein they could receive online consultations from doctors. </w:t>
      </w:r>
    </w:p>
    <w:p w14:paraId="475A7219" w14:textId="3945AE52"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Repatriation of persons in vulnerable situation became a priority. Therefore, </w:t>
      </w:r>
      <w:proofErr w:type="spellStart"/>
      <w:r w:rsidRPr="00E960C9">
        <w:rPr>
          <w:rFonts w:eastAsia="Calibri"/>
          <w:sz w:val="22"/>
          <w:szCs w:val="22"/>
        </w:rPr>
        <w:t>PwDs</w:t>
      </w:r>
      <w:proofErr w:type="spellEnd"/>
      <w:r w:rsidRPr="00E960C9">
        <w:rPr>
          <w:rFonts w:eastAsia="Calibri"/>
          <w:sz w:val="22"/>
          <w:szCs w:val="22"/>
        </w:rPr>
        <w:t xml:space="preserve">, persons with </w:t>
      </w:r>
      <w:r w:rsidR="00C0157F" w:rsidRPr="00E960C9">
        <w:rPr>
          <w:rFonts w:eastAsia="Calibri"/>
          <w:sz w:val="22"/>
          <w:szCs w:val="22"/>
        </w:rPr>
        <w:t xml:space="preserve">severe </w:t>
      </w:r>
      <w:r w:rsidRPr="00E960C9">
        <w:rPr>
          <w:rFonts w:eastAsia="Calibri"/>
          <w:sz w:val="22"/>
          <w:szCs w:val="22"/>
        </w:rPr>
        <w:t xml:space="preserve">chronic diseases, pregnant women, minors, elderly (+65) and students without scholarship were given priority in the repatriation process. In total, 12,720 citizens returned to Georgia. </w:t>
      </w:r>
    </w:p>
    <w:p w14:paraId="73D7FAD3"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From the beginning of the crisis, the Aliens' Integration Centre worked online. The Centre proactively published information on COVID-19 prevention, introduced restrictions and mitigation measures. The refugees and asylum seekers present in Georgia had access to telephone and online consultations. </w:t>
      </w:r>
    </w:p>
    <w:p w14:paraId="3FBE7760"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anti-crisis policy of the GOG is based on international and national human rights principles. The cornerstone of the anti-crisis plan is to provide maximum protection to as many persons, and businesses as the limited resources allow and ensure that a maximum number of persons, who suffered as a result of the pandemic, have access to the State aid. </w:t>
      </w:r>
    </w:p>
    <w:p w14:paraId="08F66822"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Besides the so-called horizontal measures, the GOG elaborated and presented specific anti-crisis plans for restoration and development of agricultural, tourism, educational and development sectors. </w:t>
      </w:r>
    </w:p>
    <w:p w14:paraId="7005940D" w14:textId="27BDE883"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On March 21, 2020, the President of Georgia declared </w:t>
      </w:r>
      <w:r w:rsidR="005A2FB7">
        <w:rPr>
          <w:rFonts w:eastAsia="Calibri"/>
          <w:sz w:val="22"/>
          <w:szCs w:val="22"/>
        </w:rPr>
        <w:t xml:space="preserve">a </w:t>
      </w:r>
      <w:r w:rsidRPr="00E960C9">
        <w:rPr>
          <w:rFonts w:eastAsia="Calibri"/>
          <w:sz w:val="22"/>
          <w:szCs w:val="22"/>
        </w:rPr>
        <w:t xml:space="preserve">state of emergency. The Decree restricted some rights and freedoms enshrined in Chapter 2 of the Constitution. The state of emergency ended on May 22, 2020. </w:t>
      </w:r>
    </w:p>
    <w:p w14:paraId="210D9D4D"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Presidential Decree referred only to those rights and freedoms restriction of which was crucial for the management of the epidemic situation. The Decree delegated some regulatory function to the GOG; the Decree specified the scale, goals and scope of the delegated power. </w:t>
      </w:r>
    </w:p>
    <w:p w14:paraId="22586013"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The introduced restrictions were based on the proportionality principle. Namely, according to the international principles and instruments, the Georgian authorities, while introducing the restrictions, considered the legitimate aim related to the pandemic, as well as proportionality between the legitimate aim and the measures employed to achieve this goal.</w:t>
      </w:r>
    </w:p>
    <w:p w14:paraId="336A8F39"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The authorities managed (introduction and cancellation) the restrictions based on the world trends, considering international recommendations, analysis of epidemiological situation and risks in Georgia. </w:t>
      </w:r>
    </w:p>
    <w:p w14:paraId="1A053AC7" w14:textId="413D4420"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It is noteworthy that every restriction aimed at limitation of population's mobility, observance of sanitary-hygiene norms and social distancing rules that were necessary for the prevention of the </w:t>
      </w:r>
      <w:r w:rsidR="00C0157F" w:rsidRPr="00E960C9">
        <w:rPr>
          <w:rFonts w:eastAsia="Calibri"/>
          <w:sz w:val="22"/>
          <w:szCs w:val="22"/>
        </w:rPr>
        <w:t>fast</w:t>
      </w:r>
      <w:r w:rsidR="001B08C9" w:rsidRPr="00E960C9">
        <w:rPr>
          <w:rFonts w:eastAsia="Calibri"/>
          <w:sz w:val="22"/>
          <w:szCs w:val="22"/>
        </w:rPr>
        <w:t>-</w:t>
      </w:r>
      <w:r w:rsidRPr="00E960C9">
        <w:rPr>
          <w:rFonts w:eastAsia="Calibri"/>
          <w:sz w:val="22"/>
          <w:szCs w:val="22"/>
        </w:rPr>
        <w:t xml:space="preserve">spreading of the virus, slowing down and controlling this process. </w:t>
      </w:r>
    </w:p>
    <w:p w14:paraId="35AC1255" w14:textId="7B4FB010" w:rsidR="000F029F" w:rsidRPr="00E960C9" w:rsidRDefault="000F029F" w:rsidP="000F029F">
      <w:pPr>
        <w:spacing w:before="120" w:after="120"/>
        <w:jc w:val="both"/>
        <w:rPr>
          <w:rFonts w:eastAsia="Calibri"/>
          <w:sz w:val="22"/>
          <w:szCs w:val="22"/>
        </w:rPr>
      </w:pPr>
      <w:r w:rsidRPr="00E960C9">
        <w:rPr>
          <w:rFonts w:eastAsia="Calibri"/>
          <w:sz w:val="22"/>
          <w:szCs w:val="22"/>
        </w:rPr>
        <w:t>Georgia is one of the best examples of the fight against COVID-19</w:t>
      </w:r>
      <w:r w:rsidR="001B08C9" w:rsidRPr="00E960C9">
        <w:rPr>
          <w:rFonts w:eastAsia="Calibri"/>
          <w:sz w:val="22"/>
          <w:szCs w:val="22"/>
        </w:rPr>
        <w:t>,</w:t>
      </w:r>
      <w:r w:rsidRPr="00E960C9">
        <w:rPr>
          <w:rFonts w:eastAsia="Calibri"/>
          <w:sz w:val="22"/>
          <w:szCs w:val="22"/>
        </w:rPr>
        <w:t xml:space="preserve"> as evidenced by various international evaluations. </w:t>
      </w:r>
    </w:p>
    <w:p w14:paraId="20BA3764" w14:textId="5BA14071" w:rsidR="002A3AF5" w:rsidRPr="00E960C9" w:rsidRDefault="001E3FC3" w:rsidP="0069054E">
      <w:pPr>
        <w:pStyle w:val="Heading1"/>
        <w:numPr>
          <w:ilvl w:val="0"/>
          <w:numId w:val="13"/>
        </w:numPr>
        <w:spacing w:before="120" w:after="120"/>
        <w:jc w:val="both"/>
        <w:rPr>
          <w:rFonts w:ascii="Times New Roman" w:eastAsia="Calibri" w:hAnsi="Times New Roman" w:cs="Times New Roman"/>
          <w:sz w:val="22"/>
          <w:szCs w:val="22"/>
        </w:rPr>
      </w:pPr>
      <w:bookmarkStart w:id="31" w:name="_Toc51302052"/>
      <w:r w:rsidRPr="00E960C9">
        <w:rPr>
          <w:rFonts w:ascii="Times New Roman" w:eastAsia="Calibri" w:hAnsi="Times New Roman" w:cs="Times New Roman"/>
          <w:sz w:val="22"/>
          <w:szCs w:val="22"/>
        </w:rPr>
        <w:t>Implementation of Commitments</w:t>
      </w:r>
      <w:bookmarkEnd w:id="31"/>
      <w:r w:rsidRPr="00E960C9">
        <w:rPr>
          <w:rFonts w:ascii="Times New Roman" w:eastAsia="Calibri" w:hAnsi="Times New Roman" w:cs="Times New Roman"/>
          <w:sz w:val="22"/>
          <w:szCs w:val="22"/>
        </w:rPr>
        <w:t xml:space="preserve"> </w:t>
      </w:r>
    </w:p>
    <w:p w14:paraId="229E1B56" w14:textId="02A9A9E8"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Georgia attaches great importance to human rights protection and cooperation with UN Human Rights Treaty Bodies. According to its commitments, the GOG continued fruitful collaboration with the United Nations High Commissioner for Human Rights and her Office, as well as with UN Human Rights Treaty Bodies and UN Human Rights Council via, inter </w:t>
      </w:r>
      <w:r w:rsidR="0069054E" w:rsidRPr="00E960C9">
        <w:rPr>
          <w:rFonts w:eastAsia="Calibri"/>
          <w:sz w:val="22"/>
          <w:szCs w:val="22"/>
        </w:rPr>
        <w:t>alia, active</w:t>
      </w:r>
      <w:r w:rsidRPr="00E960C9">
        <w:rPr>
          <w:rFonts w:eastAsia="Calibri"/>
          <w:sz w:val="22"/>
          <w:szCs w:val="22"/>
        </w:rPr>
        <w:t xml:space="preserve"> participation in sessions and co-sponsoring humanitarian resolutions. </w:t>
      </w:r>
    </w:p>
    <w:p w14:paraId="14B11C68" w14:textId="41E7CD52" w:rsidR="00CC4D03" w:rsidRPr="00E960C9" w:rsidRDefault="000F029F" w:rsidP="000F029F">
      <w:pPr>
        <w:spacing w:before="120" w:after="120"/>
        <w:jc w:val="both"/>
        <w:rPr>
          <w:rFonts w:eastAsia="Calibri"/>
          <w:sz w:val="22"/>
          <w:szCs w:val="22"/>
        </w:rPr>
      </w:pPr>
      <w:r w:rsidRPr="00E960C9">
        <w:rPr>
          <w:rFonts w:eastAsia="Calibri"/>
          <w:sz w:val="22"/>
          <w:szCs w:val="22"/>
        </w:rPr>
        <w:t xml:space="preserve">Georgia issued so-called "open invitation" to all HRC Special Procedures of the UN. Within this invitation, since 2015 these visits were undertaken to Georgia: the UN Special Rapporteur on the Human Rights of Internally Displaced Persons (2016), the UN Special Rapporteur on violence against women, its causes and consequences (2016), the United Nations Special Rapporteur on the sale of children, child prostitution and child pornography (2016), Independent Expert on the Rights of </w:t>
      </w:r>
      <w:r w:rsidR="0069054E" w:rsidRPr="00E960C9">
        <w:rPr>
          <w:rFonts w:eastAsia="Calibri"/>
          <w:sz w:val="22"/>
          <w:szCs w:val="22"/>
        </w:rPr>
        <w:t>Older Persons</w:t>
      </w:r>
      <w:r w:rsidRPr="00E960C9">
        <w:rPr>
          <w:rFonts w:eastAsia="Calibri"/>
          <w:sz w:val="22"/>
          <w:szCs w:val="22"/>
        </w:rPr>
        <w:t xml:space="preserve">(2018), the Independent Expert on protection against violence and discrimination based on sexual orientation and gender identity (2018) and the UN Working Group on Business and Human Rights (2019). </w:t>
      </w:r>
    </w:p>
    <w:p w14:paraId="23AB442F"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lastRenderedPageBreak/>
        <w:t xml:space="preserve">In 2016-2018, Georgia was elected to the Human Rights Council for 2016-2018 due to the commitment to the UN Human Rights Council and its mechanisms, as well as commitments related to the promotion of human rights and freedoms protection. </w:t>
      </w:r>
    </w:p>
    <w:p w14:paraId="5128917D" w14:textId="41D509F2" w:rsidR="00740D67" w:rsidRPr="00E960C9" w:rsidRDefault="000F029F" w:rsidP="000F029F">
      <w:pPr>
        <w:spacing w:before="120" w:after="120"/>
        <w:jc w:val="both"/>
        <w:rPr>
          <w:rFonts w:eastAsia="Calibri"/>
          <w:sz w:val="22"/>
          <w:szCs w:val="22"/>
        </w:rPr>
      </w:pPr>
      <w:r w:rsidRPr="00E960C9">
        <w:rPr>
          <w:rFonts w:eastAsia="Calibri"/>
          <w:sz w:val="22"/>
          <w:szCs w:val="22"/>
        </w:rPr>
        <w:t>Georgia presents periodic national reports to the UN treaty bodies and pays attention to the implementation of recommendations received during the UPR cycle. These recommendations are incorporated into the national human rights action plans for their practical realisation</w:t>
      </w:r>
      <w:r w:rsidR="00740D67" w:rsidRPr="00E960C9">
        <w:rPr>
          <w:rFonts w:eastAsia="Calibri"/>
          <w:sz w:val="22"/>
          <w:szCs w:val="22"/>
        </w:rPr>
        <w:t xml:space="preserve">. </w:t>
      </w:r>
    </w:p>
    <w:p w14:paraId="51FD3CC1" w14:textId="3C794E85" w:rsidR="00661A19" w:rsidRPr="00E960C9" w:rsidRDefault="00013352" w:rsidP="0004544F">
      <w:pPr>
        <w:pStyle w:val="Heading1"/>
        <w:numPr>
          <w:ilvl w:val="0"/>
          <w:numId w:val="13"/>
        </w:numPr>
        <w:spacing w:before="120" w:after="120"/>
        <w:jc w:val="both"/>
        <w:rPr>
          <w:rFonts w:ascii="Times New Roman" w:eastAsia="Calibri" w:hAnsi="Times New Roman" w:cs="Times New Roman"/>
          <w:sz w:val="22"/>
          <w:szCs w:val="22"/>
        </w:rPr>
      </w:pPr>
      <w:bookmarkStart w:id="32" w:name="_Toc51302053"/>
      <w:r w:rsidRPr="00E960C9">
        <w:rPr>
          <w:rFonts w:ascii="Times New Roman" w:eastAsia="Calibri" w:hAnsi="Times New Roman" w:cs="Times New Roman"/>
          <w:sz w:val="22"/>
          <w:szCs w:val="22"/>
        </w:rPr>
        <w:t xml:space="preserve">Expectation and </w:t>
      </w:r>
      <w:r w:rsidR="007D7AB8">
        <w:rPr>
          <w:rFonts w:ascii="Times New Roman" w:eastAsia="Calibri" w:hAnsi="Times New Roman" w:cs="Times New Roman"/>
          <w:sz w:val="22"/>
          <w:szCs w:val="22"/>
        </w:rPr>
        <w:t>s</w:t>
      </w:r>
      <w:r w:rsidRPr="00E960C9">
        <w:rPr>
          <w:rFonts w:ascii="Times New Roman" w:eastAsia="Calibri" w:hAnsi="Times New Roman" w:cs="Times New Roman"/>
          <w:sz w:val="22"/>
          <w:szCs w:val="22"/>
        </w:rPr>
        <w:t>upport</w:t>
      </w:r>
      <w:bookmarkEnd w:id="32"/>
      <w:r w:rsidRPr="00E960C9">
        <w:rPr>
          <w:rFonts w:ascii="Times New Roman" w:eastAsia="Calibri" w:hAnsi="Times New Roman" w:cs="Times New Roman"/>
          <w:sz w:val="22"/>
          <w:szCs w:val="22"/>
        </w:rPr>
        <w:t xml:space="preserve"> </w:t>
      </w:r>
    </w:p>
    <w:p w14:paraId="6F246AD8"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Georgia expresses readiness to continue international cooperation to promote human rights and strengthen human rights protection systems, as well as share experience of interested partners. </w:t>
      </w:r>
    </w:p>
    <w:p w14:paraId="6323C5C5"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Since 2017 within the framework of the UN Human Rights Council (item 10), Georgia annually presents resolution on cooperation with Georgia. In these resolutions, the Council expressed serious concern about the human rights and humanitarian situation in the Georgian territories of Abkhazia and Tskhinvali/South Ossetia occupied by the Russian Federation. Therein, the Council called for immediate and unimpeded access to be given to the Office of the High Commissioner and international and regional human rights mechanisms to Abkhazia, Georgia and the Tskhinvali region/South Ossetia, Georgia. </w:t>
      </w:r>
    </w:p>
    <w:p w14:paraId="6E670695"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To ensure human rights protection in the territories occupied by the Russian Federation, Georgia expects more large-scale international cooperation.  </w:t>
      </w:r>
    </w:p>
    <w:p w14:paraId="0174712D" w14:textId="77777777" w:rsidR="000F029F" w:rsidRPr="00E960C9" w:rsidRDefault="000F029F" w:rsidP="000F029F">
      <w:pPr>
        <w:spacing w:before="120" w:after="120"/>
        <w:jc w:val="both"/>
        <w:rPr>
          <w:rFonts w:eastAsia="Calibri"/>
          <w:sz w:val="22"/>
          <w:szCs w:val="22"/>
        </w:rPr>
      </w:pPr>
      <w:r w:rsidRPr="00E960C9">
        <w:rPr>
          <w:rFonts w:eastAsia="Calibri"/>
          <w:sz w:val="22"/>
          <w:szCs w:val="22"/>
        </w:rPr>
        <w:t xml:space="preserve">Georgia expects to receive technical cooperation for preparation of state reports under international treaties, namely sharing experience of other States in using IT technologies for drafting State reports. With this regard, Georgia cooperates closely with the Southern Caucasus Regional Office of OHCHR. </w:t>
      </w:r>
    </w:p>
    <w:p w14:paraId="50B5013D" w14:textId="718E512E" w:rsidR="007835F8" w:rsidRPr="00E960C9" w:rsidRDefault="000F029F" w:rsidP="000F029F">
      <w:pPr>
        <w:spacing w:before="120" w:after="120"/>
        <w:jc w:val="both"/>
        <w:rPr>
          <w:rFonts w:eastAsia="Calibri"/>
          <w:sz w:val="22"/>
          <w:szCs w:val="22"/>
        </w:rPr>
      </w:pPr>
      <w:r w:rsidRPr="00E960C9">
        <w:rPr>
          <w:rFonts w:eastAsia="Calibri"/>
          <w:sz w:val="22"/>
          <w:szCs w:val="22"/>
        </w:rPr>
        <w:t>Georgia also expresses its readiness to share its experience in preparing UPR with interested States.</w:t>
      </w:r>
    </w:p>
    <w:p w14:paraId="4D1101F8" w14:textId="7BCD4E9D" w:rsidR="00183962" w:rsidRPr="00E960C9" w:rsidRDefault="0004544F" w:rsidP="00F75C34">
      <w:pPr>
        <w:pStyle w:val="Heading1"/>
        <w:numPr>
          <w:ilvl w:val="0"/>
          <w:numId w:val="13"/>
        </w:numPr>
        <w:spacing w:before="120" w:after="120"/>
        <w:jc w:val="both"/>
        <w:rPr>
          <w:rFonts w:ascii="Times New Roman" w:hAnsi="Times New Roman" w:cs="Times New Roman"/>
          <w:sz w:val="22"/>
          <w:szCs w:val="22"/>
        </w:rPr>
      </w:pPr>
      <w:bookmarkStart w:id="33" w:name="_Toc51302054"/>
      <w:r w:rsidRPr="00E960C9">
        <w:rPr>
          <w:rFonts w:ascii="Times New Roman" w:eastAsia="Calibri" w:hAnsi="Times New Roman" w:cs="Times New Roman"/>
          <w:sz w:val="22"/>
          <w:szCs w:val="22"/>
        </w:rPr>
        <w:t>Conclusion</w:t>
      </w:r>
      <w:bookmarkEnd w:id="33"/>
      <w:r w:rsidRPr="00E960C9">
        <w:rPr>
          <w:rFonts w:ascii="Times New Roman" w:eastAsia="Calibri" w:hAnsi="Times New Roman" w:cs="Times New Roman"/>
          <w:sz w:val="22"/>
          <w:szCs w:val="22"/>
        </w:rPr>
        <w:t xml:space="preserve"> </w:t>
      </w:r>
    </w:p>
    <w:p w14:paraId="20855FF6" w14:textId="34B4C7C0" w:rsidR="002A3AF5" w:rsidRPr="00E960C9" w:rsidRDefault="006E799B" w:rsidP="00904117">
      <w:pPr>
        <w:spacing w:before="120" w:after="120"/>
        <w:jc w:val="both"/>
        <w:rPr>
          <w:rFonts w:eastAsia="Calibri"/>
          <w:sz w:val="22"/>
          <w:szCs w:val="22"/>
        </w:rPr>
      </w:pPr>
      <w:r w:rsidRPr="00E960C9">
        <w:rPr>
          <w:rFonts w:eastAsia="Calibri"/>
          <w:sz w:val="22"/>
          <w:szCs w:val="22"/>
        </w:rPr>
        <w:t xml:space="preserve">As the information presented in the report manifests, Georgia continuously undertakes measures aimed at improved protection of human rights. However, there are some challenges. The Government will continue steady efforts to increase human rights protection in all directions. The GOG considers the UPR process and recommendations as an essential instrument and guidance to further implement comprehensive reforms for human rights protection, with the engagement of all interested parties. </w:t>
      </w:r>
    </w:p>
    <w:sectPr w:rsidR="002A3AF5" w:rsidRPr="00E960C9">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Rusudan Tushuri" w:date="2020-08-20T23:40:00Z" w:initials="RT">
    <w:p w14:paraId="542D5919" w14:textId="30DF10F6" w:rsidR="00BD1456" w:rsidRDefault="00BD1456">
      <w:pPr>
        <w:pStyle w:val="CommentText"/>
        <w:rPr>
          <w:rFonts w:ascii="Sylfaen" w:hAnsi="Sylfaen"/>
          <w:lang w:val="ka-GE"/>
        </w:rPr>
      </w:pPr>
      <w:r>
        <w:rPr>
          <w:rStyle w:val="CommentReference"/>
        </w:rPr>
        <w:annotationRef/>
      </w:r>
      <w:r>
        <w:rPr>
          <w:rFonts w:ascii="Sylfaen" w:hAnsi="Sylfaen"/>
          <w:lang w:val="ka-GE"/>
        </w:rPr>
        <w:t>2016 წლის მონაცემი აკლია</w:t>
      </w:r>
    </w:p>
    <w:p w14:paraId="233EF87D" w14:textId="77777777" w:rsidR="00FA38AC" w:rsidRPr="001C7C97" w:rsidRDefault="00FA38AC">
      <w:pPr>
        <w:pStyle w:val="CommentText"/>
        <w:rPr>
          <w:rFonts w:ascii="Sylfaen" w:hAnsi="Sylfaen"/>
          <w:lang w:val="ka-GE"/>
        </w:rPr>
      </w:pPr>
    </w:p>
  </w:comment>
  <w:comment w:id="18" w:author="Mikheil Kekenadze" w:date="2020-09-21T13:12:00Z" w:initials="MK">
    <w:p w14:paraId="1E2754A5" w14:textId="1ABC5FA1" w:rsidR="003A640D" w:rsidRPr="003A640D" w:rsidRDefault="003A640D">
      <w:pPr>
        <w:pStyle w:val="CommentText"/>
        <w:rPr>
          <w:rFonts w:ascii="Sylfaen" w:hAnsi="Sylfaen"/>
          <w:lang w:val="ka-GE"/>
        </w:rPr>
      </w:pPr>
      <w:r>
        <w:rPr>
          <w:rStyle w:val="CommentReference"/>
        </w:rPr>
        <w:annotationRef/>
      </w:r>
      <w:r w:rsidR="00AC6A62">
        <w:rPr>
          <w:rFonts w:ascii="Sylfaen" w:hAnsi="Sylfaen"/>
          <w:lang w:val="ka-GE"/>
        </w:rPr>
        <w:t xml:space="preserve">ინსპექტორის სამსახურს: </w:t>
      </w:r>
      <w:r>
        <w:rPr>
          <w:rFonts w:ascii="Sylfaen" w:hAnsi="Sylfaen"/>
          <w:lang w:val="ka-GE"/>
        </w:rPr>
        <w:t xml:space="preserve">იქნებ შეავსოთ ეს მონაცემი თუ მოგეპოვებათ  </w:t>
      </w:r>
    </w:p>
  </w:comment>
  <w:comment w:id="23" w:author="Rusudan Tushuri" w:date="2020-09-18T06:11:00Z" w:initials="RT">
    <w:p w14:paraId="7C7C076D" w14:textId="6C1FC12B" w:rsidR="00DF3E41" w:rsidRPr="00DF3E41" w:rsidRDefault="00DF3E41">
      <w:pPr>
        <w:pStyle w:val="CommentText"/>
        <w:rPr>
          <w:rFonts w:ascii="Sylfaen" w:hAnsi="Sylfaen"/>
          <w:lang w:val="ka-GE"/>
        </w:rPr>
      </w:pPr>
      <w:r>
        <w:rPr>
          <w:rStyle w:val="CommentReference"/>
        </w:rPr>
        <w:annotationRef/>
      </w:r>
    </w:p>
  </w:comment>
  <w:comment w:id="24" w:author="Mikheil Kekenadze" w:date="2020-09-21T13:11:00Z" w:initials="MK">
    <w:p w14:paraId="638F8524" w14:textId="480DA747" w:rsidR="00F02EF5" w:rsidRDefault="00F02EF5">
      <w:pPr>
        <w:pStyle w:val="CommentText"/>
      </w:pPr>
      <w:r>
        <w:rPr>
          <w:rStyle w:val="CommentReference"/>
        </w:rPr>
        <w:annotationRef/>
      </w:r>
      <w:r w:rsidR="00A47D6F">
        <w:rPr>
          <w:rFonts w:ascii="Sylfaen" w:hAnsi="Sylfaen" w:cs="Sylfaen"/>
          <w:lang w:val="ka-GE"/>
        </w:rPr>
        <w:t xml:space="preserve">ცესკოს: </w:t>
      </w:r>
      <w:proofErr w:type="spellStart"/>
      <w:r w:rsidRPr="00F02EF5">
        <w:rPr>
          <w:rFonts w:ascii="Sylfaen" w:hAnsi="Sylfaen" w:cs="Sylfaen"/>
        </w:rPr>
        <w:t>ქალბატონო</w:t>
      </w:r>
      <w:proofErr w:type="spellEnd"/>
      <w:r w:rsidRPr="00F02EF5">
        <w:t xml:space="preserve"> </w:t>
      </w:r>
      <w:r w:rsidRPr="00F02EF5">
        <w:rPr>
          <w:rFonts w:ascii="Sylfaen" w:hAnsi="Sylfaen" w:cs="Sylfaen"/>
        </w:rPr>
        <w:t>სოფიო</w:t>
      </w:r>
      <w:r w:rsidRPr="00F02EF5">
        <w:t xml:space="preserve"> </w:t>
      </w:r>
      <w:proofErr w:type="spellStart"/>
      <w:r w:rsidRPr="00F02EF5">
        <w:rPr>
          <w:rFonts w:ascii="Sylfaen" w:hAnsi="Sylfaen" w:cs="Sylfaen"/>
        </w:rPr>
        <w:t>იქნებ</w:t>
      </w:r>
      <w:proofErr w:type="spellEnd"/>
      <w:r w:rsidRPr="00F02EF5">
        <w:t xml:space="preserve"> </w:t>
      </w:r>
      <w:proofErr w:type="spellStart"/>
      <w:r w:rsidRPr="00F02EF5">
        <w:rPr>
          <w:rFonts w:ascii="Sylfaen" w:hAnsi="Sylfaen" w:cs="Sylfaen"/>
        </w:rPr>
        <w:t>დაგვეხმარეთ</w:t>
      </w:r>
      <w:proofErr w:type="spellEnd"/>
      <w:r w:rsidRPr="00F02EF5">
        <w:t xml:space="preserve"> </w:t>
      </w:r>
      <w:proofErr w:type="spellStart"/>
      <w:r w:rsidRPr="00F02EF5">
        <w:rPr>
          <w:rFonts w:ascii="Sylfaen" w:hAnsi="Sylfaen" w:cs="Sylfaen"/>
        </w:rPr>
        <w:t>ამ</w:t>
      </w:r>
      <w:proofErr w:type="spellEnd"/>
      <w:r w:rsidRPr="00F02EF5">
        <w:t xml:space="preserve"> </w:t>
      </w:r>
      <w:proofErr w:type="spellStart"/>
      <w:r w:rsidRPr="00F02EF5">
        <w:rPr>
          <w:rFonts w:ascii="Sylfaen" w:hAnsi="Sylfaen" w:cs="Sylfaen"/>
        </w:rPr>
        <w:t>პარაგრაფის</w:t>
      </w:r>
      <w:proofErr w:type="spellEnd"/>
      <w:r w:rsidRPr="00F02EF5">
        <w:t xml:space="preserve"> </w:t>
      </w:r>
      <w:proofErr w:type="spellStart"/>
      <w:r w:rsidRPr="00F02EF5">
        <w:rPr>
          <w:rFonts w:ascii="Sylfaen" w:hAnsi="Sylfaen" w:cs="Sylfaen"/>
        </w:rPr>
        <w:t>თარგმნაში</w:t>
      </w:r>
      <w:proofErr w:type="spellEnd"/>
    </w:p>
  </w:comment>
  <w:comment w:id="25" w:author="Rusudan Tushuri" w:date="2020-09-02T12:13:00Z" w:initials="RT">
    <w:p w14:paraId="76E7503E" w14:textId="560C15DF" w:rsidR="00BD1456" w:rsidRPr="00326865" w:rsidRDefault="00BD1456">
      <w:pPr>
        <w:pStyle w:val="CommentText"/>
        <w:rPr>
          <w:rFonts w:ascii="Sylfaen" w:hAnsi="Sylfaen"/>
          <w:lang w:val="ka-GE"/>
        </w:rPr>
      </w:pPr>
      <w:r>
        <w:rPr>
          <w:rStyle w:val="CommentReference"/>
        </w:rPr>
        <w:annotationRef/>
      </w:r>
      <w:r>
        <w:rPr>
          <w:rFonts w:ascii="Sylfaen" w:hAnsi="Sylfaen"/>
          <w:lang w:val="ka-GE"/>
        </w:rPr>
        <w:t>განსაახლებელია ეს აბზაცი</w:t>
      </w:r>
    </w:p>
  </w:comment>
  <w:comment w:id="26" w:author="Mikheil Kekenadze" w:date="2020-09-21T13:15:00Z" w:initials="MK">
    <w:p w14:paraId="111F09AE" w14:textId="30ED8716" w:rsidR="00D91E7D" w:rsidRPr="00D91E7D" w:rsidRDefault="00D91E7D">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დაგვეხმაროთ განახლებაში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EF87D" w15:done="0"/>
  <w15:commentEx w15:paraId="1E2754A5" w15:paraIdParent="233EF87D" w15:done="0"/>
  <w15:commentEx w15:paraId="7C7C076D" w15:done="0"/>
  <w15:commentEx w15:paraId="638F8524" w15:paraIdParent="7C7C076D" w15:done="0"/>
  <w15:commentEx w15:paraId="76E7503E" w15:done="0"/>
  <w15:commentEx w15:paraId="111F09AE" w15:paraIdParent="76E75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8852" w16cex:dateUtc="2020-08-20T19:40:00Z"/>
  <w16cex:commentExtensible w16cex:durableId="230ECDFE" w16cex:dateUtc="2020-09-18T02:11:00Z"/>
  <w16cex:commentExtensible w16cex:durableId="22FA0ADA" w16cex:dateUtc="2020-09-02T08:13:00Z"/>
  <w16cex:commentExtensible w16cex:durableId="22FA4DBC" w16cex:dateUtc="2020-09-02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2D5919" w16cid:durableId="22E98852"/>
  <w16cid:commentId w16cid:paraId="7C7C076D" w16cid:durableId="230ECDFE"/>
  <w16cid:commentId w16cid:paraId="76E7503E" w16cid:durableId="22FA0ADA"/>
  <w16cid:commentId w16cid:paraId="5CDD2C2E" w16cid:durableId="22FA4D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2146D" w14:textId="77777777" w:rsidR="000B1374" w:rsidRDefault="000B1374" w:rsidP="00B20F20">
      <w:r>
        <w:separator/>
      </w:r>
    </w:p>
  </w:endnote>
  <w:endnote w:type="continuationSeparator" w:id="0">
    <w:p w14:paraId="00FE667B" w14:textId="77777777" w:rsidR="000B1374" w:rsidRDefault="000B1374" w:rsidP="00B2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37634"/>
      <w:docPartObj>
        <w:docPartGallery w:val="Page Numbers (Bottom of Page)"/>
        <w:docPartUnique/>
      </w:docPartObj>
    </w:sdtPr>
    <w:sdtEndPr>
      <w:rPr>
        <w:noProof/>
      </w:rPr>
    </w:sdtEndPr>
    <w:sdtContent>
      <w:p w14:paraId="06747F67" w14:textId="52858C8D" w:rsidR="00BD1456" w:rsidRDefault="00BD1456">
        <w:pPr>
          <w:pStyle w:val="Footer"/>
          <w:jc w:val="right"/>
        </w:pPr>
        <w:r>
          <w:fldChar w:fldCharType="begin"/>
        </w:r>
        <w:r>
          <w:instrText xml:space="preserve"> PAGE   \* MERGEFORMAT </w:instrText>
        </w:r>
        <w:r>
          <w:fldChar w:fldCharType="separate"/>
        </w:r>
        <w:r w:rsidR="00B27F79">
          <w:rPr>
            <w:noProof/>
          </w:rPr>
          <w:t>23</w:t>
        </w:r>
        <w:r>
          <w:rPr>
            <w:noProof/>
          </w:rPr>
          <w:fldChar w:fldCharType="end"/>
        </w:r>
      </w:p>
    </w:sdtContent>
  </w:sdt>
  <w:p w14:paraId="3E483C27" w14:textId="77777777" w:rsidR="00BD1456" w:rsidRDefault="00BD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096E" w14:textId="77777777" w:rsidR="000B1374" w:rsidRDefault="000B1374" w:rsidP="00B20F20">
      <w:r>
        <w:separator/>
      </w:r>
    </w:p>
  </w:footnote>
  <w:footnote w:type="continuationSeparator" w:id="0">
    <w:p w14:paraId="5E981CAD" w14:textId="77777777" w:rsidR="000B1374" w:rsidRDefault="000B1374" w:rsidP="00B20F20">
      <w:r>
        <w:continuationSeparator/>
      </w:r>
    </w:p>
  </w:footnote>
  <w:footnote w:id="1">
    <w:p w14:paraId="0229C63F" w14:textId="192B9FF2" w:rsidR="00BD1456" w:rsidRDefault="00BD1456" w:rsidP="00E54C91">
      <w:pPr>
        <w:pStyle w:val="FootnoteText"/>
        <w:jc w:val="both"/>
      </w:pPr>
      <w:r>
        <w:rPr>
          <w:rStyle w:val="FootnoteReference"/>
        </w:rPr>
        <w:footnoteRef/>
      </w:r>
      <w:r>
        <w:t xml:space="preserve"> According </w:t>
      </w:r>
      <w:proofErr w:type="spellStart"/>
      <w:r>
        <w:t>t</w:t>
      </w:r>
      <w:proofErr w:type="spellEnd"/>
      <w:r>
        <w:t xml:space="preserve"> the 2019 report of the World Justice Project, Georgia has leading position and ranks on the first position in the East </w:t>
      </w:r>
      <w:proofErr w:type="spellStart"/>
      <w:r>
        <w:t>Europeand</w:t>
      </w:r>
      <w:proofErr w:type="spellEnd"/>
      <w:r>
        <w:t xml:space="preserve"> and Central Asian region. According to 2017 data of the Open Budget Index, Georgia ranks on the 5</w:t>
      </w:r>
      <w:r w:rsidRPr="00F603BD">
        <w:rPr>
          <w:vertAlign w:val="superscript"/>
        </w:rPr>
        <w:t>th</w:t>
      </w:r>
      <w:r>
        <w:t xml:space="preserve"> position for the transparency of the budgetary process. </w:t>
      </w:r>
    </w:p>
    <w:p w14:paraId="2F2FC6CA" w14:textId="6B617C5F" w:rsidR="00BD1456" w:rsidRPr="00E54C91" w:rsidRDefault="00BD1456" w:rsidP="00E54C91">
      <w:pPr>
        <w:pStyle w:val="FootnoteText"/>
        <w:jc w:val="both"/>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389"/>
    <w:multiLevelType w:val="multilevel"/>
    <w:tmpl w:val="2C7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0D0C40"/>
    <w:multiLevelType w:val="hybridMultilevel"/>
    <w:tmpl w:val="52D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57B40"/>
    <w:multiLevelType w:val="hybridMultilevel"/>
    <w:tmpl w:val="1316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943F27"/>
    <w:multiLevelType w:val="hybridMultilevel"/>
    <w:tmpl w:val="EF866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5"/>
  </w:num>
  <w:num w:numId="6">
    <w:abstractNumId w:val="11"/>
  </w:num>
  <w:num w:numId="7">
    <w:abstractNumId w:val="6"/>
  </w:num>
  <w:num w:numId="8">
    <w:abstractNumId w:val="15"/>
  </w:num>
  <w:num w:numId="9">
    <w:abstractNumId w:val="10"/>
  </w:num>
  <w:num w:numId="10">
    <w:abstractNumId w:val="14"/>
  </w:num>
  <w:num w:numId="11">
    <w:abstractNumId w:val="17"/>
  </w:num>
  <w:num w:numId="12">
    <w:abstractNumId w:val="9"/>
  </w:num>
  <w:num w:numId="13">
    <w:abstractNumId w:val="16"/>
  </w:num>
  <w:num w:numId="14">
    <w:abstractNumId w:val="8"/>
  </w:num>
  <w:num w:numId="15">
    <w:abstractNumId w:val="12"/>
  </w:num>
  <w:num w:numId="16">
    <w:abstractNumId w:val="18"/>
  </w:num>
  <w:num w:numId="17">
    <w:abstractNumId w:val="4"/>
  </w:num>
  <w:num w:numId="18">
    <w:abstractNumId w:val="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0123"/>
    <w:rsid w:val="000049D7"/>
    <w:rsid w:val="000050FD"/>
    <w:rsid w:val="000058DE"/>
    <w:rsid w:val="00005B2C"/>
    <w:rsid w:val="00006BAB"/>
    <w:rsid w:val="000077B6"/>
    <w:rsid w:val="00011B8D"/>
    <w:rsid w:val="00013352"/>
    <w:rsid w:val="00015557"/>
    <w:rsid w:val="00015A67"/>
    <w:rsid w:val="00015F86"/>
    <w:rsid w:val="00020741"/>
    <w:rsid w:val="00024B97"/>
    <w:rsid w:val="00025CBB"/>
    <w:rsid w:val="00025DFD"/>
    <w:rsid w:val="00026163"/>
    <w:rsid w:val="00027024"/>
    <w:rsid w:val="00030AF5"/>
    <w:rsid w:val="00031451"/>
    <w:rsid w:val="000340BD"/>
    <w:rsid w:val="00035F7E"/>
    <w:rsid w:val="00040AF7"/>
    <w:rsid w:val="0004224A"/>
    <w:rsid w:val="0004544F"/>
    <w:rsid w:val="0004605E"/>
    <w:rsid w:val="000463D7"/>
    <w:rsid w:val="0005101D"/>
    <w:rsid w:val="0005140A"/>
    <w:rsid w:val="00051D91"/>
    <w:rsid w:val="00053400"/>
    <w:rsid w:val="00056698"/>
    <w:rsid w:val="00056FD6"/>
    <w:rsid w:val="0006037D"/>
    <w:rsid w:val="000606EE"/>
    <w:rsid w:val="00060DCD"/>
    <w:rsid w:val="0006103B"/>
    <w:rsid w:val="00061F3D"/>
    <w:rsid w:val="000635D9"/>
    <w:rsid w:val="0006494C"/>
    <w:rsid w:val="00064E4C"/>
    <w:rsid w:val="000650BE"/>
    <w:rsid w:val="00065748"/>
    <w:rsid w:val="00065C3E"/>
    <w:rsid w:val="000666EA"/>
    <w:rsid w:val="0006783F"/>
    <w:rsid w:val="00071A61"/>
    <w:rsid w:val="0008063F"/>
    <w:rsid w:val="000820F4"/>
    <w:rsid w:val="00082A24"/>
    <w:rsid w:val="00083B7E"/>
    <w:rsid w:val="00084B5C"/>
    <w:rsid w:val="00086085"/>
    <w:rsid w:val="00086794"/>
    <w:rsid w:val="0009212B"/>
    <w:rsid w:val="00092B3A"/>
    <w:rsid w:val="000945A7"/>
    <w:rsid w:val="00094791"/>
    <w:rsid w:val="000A01D7"/>
    <w:rsid w:val="000A0D77"/>
    <w:rsid w:val="000A2F29"/>
    <w:rsid w:val="000A376A"/>
    <w:rsid w:val="000A40A2"/>
    <w:rsid w:val="000A47C1"/>
    <w:rsid w:val="000A69EA"/>
    <w:rsid w:val="000A7115"/>
    <w:rsid w:val="000B0295"/>
    <w:rsid w:val="000B0FB9"/>
    <w:rsid w:val="000B1374"/>
    <w:rsid w:val="000B219C"/>
    <w:rsid w:val="000B5275"/>
    <w:rsid w:val="000B73A5"/>
    <w:rsid w:val="000B7B85"/>
    <w:rsid w:val="000C1339"/>
    <w:rsid w:val="000C5C6B"/>
    <w:rsid w:val="000C626B"/>
    <w:rsid w:val="000C6F34"/>
    <w:rsid w:val="000D1D24"/>
    <w:rsid w:val="000D53F4"/>
    <w:rsid w:val="000D5D77"/>
    <w:rsid w:val="000D6307"/>
    <w:rsid w:val="000E3EEA"/>
    <w:rsid w:val="000E4AC5"/>
    <w:rsid w:val="000E6342"/>
    <w:rsid w:val="000E6853"/>
    <w:rsid w:val="000E758B"/>
    <w:rsid w:val="000E7658"/>
    <w:rsid w:val="000E78CA"/>
    <w:rsid w:val="000F029F"/>
    <w:rsid w:val="000F0912"/>
    <w:rsid w:val="000F0CE6"/>
    <w:rsid w:val="000F2A31"/>
    <w:rsid w:val="001000CA"/>
    <w:rsid w:val="001007ED"/>
    <w:rsid w:val="001043B4"/>
    <w:rsid w:val="001069CE"/>
    <w:rsid w:val="001128B0"/>
    <w:rsid w:val="001135F1"/>
    <w:rsid w:val="0011483D"/>
    <w:rsid w:val="0011572C"/>
    <w:rsid w:val="0011581B"/>
    <w:rsid w:val="001179FF"/>
    <w:rsid w:val="00117B33"/>
    <w:rsid w:val="001259AC"/>
    <w:rsid w:val="00126FDA"/>
    <w:rsid w:val="00127308"/>
    <w:rsid w:val="00130433"/>
    <w:rsid w:val="00130CF9"/>
    <w:rsid w:val="001326C6"/>
    <w:rsid w:val="00132F3D"/>
    <w:rsid w:val="00135022"/>
    <w:rsid w:val="00135320"/>
    <w:rsid w:val="0013551D"/>
    <w:rsid w:val="001377CA"/>
    <w:rsid w:val="00140E52"/>
    <w:rsid w:val="00141B41"/>
    <w:rsid w:val="00143C1D"/>
    <w:rsid w:val="00143C76"/>
    <w:rsid w:val="00146719"/>
    <w:rsid w:val="00147A21"/>
    <w:rsid w:val="00151398"/>
    <w:rsid w:val="0015494F"/>
    <w:rsid w:val="00156DEB"/>
    <w:rsid w:val="001622FC"/>
    <w:rsid w:val="00162B32"/>
    <w:rsid w:val="00163B35"/>
    <w:rsid w:val="00164BBE"/>
    <w:rsid w:val="0016598E"/>
    <w:rsid w:val="00165A32"/>
    <w:rsid w:val="00165A36"/>
    <w:rsid w:val="00166B92"/>
    <w:rsid w:val="0017160D"/>
    <w:rsid w:val="001718CF"/>
    <w:rsid w:val="001722DA"/>
    <w:rsid w:val="001745B2"/>
    <w:rsid w:val="00175E7A"/>
    <w:rsid w:val="00181212"/>
    <w:rsid w:val="00182519"/>
    <w:rsid w:val="00183962"/>
    <w:rsid w:val="001867EF"/>
    <w:rsid w:val="001877E7"/>
    <w:rsid w:val="0019034F"/>
    <w:rsid w:val="001903DE"/>
    <w:rsid w:val="00191F68"/>
    <w:rsid w:val="00193DAF"/>
    <w:rsid w:val="0019443D"/>
    <w:rsid w:val="00194694"/>
    <w:rsid w:val="00194C2A"/>
    <w:rsid w:val="001A1AF6"/>
    <w:rsid w:val="001A224D"/>
    <w:rsid w:val="001A4021"/>
    <w:rsid w:val="001A5C9F"/>
    <w:rsid w:val="001A7AF4"/>
    <w:rsid w:val="001A7CE4"/>
    <w:rsid w:val="001B08C9"/>
    <w:rsid w:val="001B1435"/>
    <w:rsid w:val="001B22C3"/>
    <w:rsid w:val="001B3DEF"/>
    <w:rsid w:val="001B41E6"/>
    <w:rsid w:val="001B57AF"/>
    <w:rsid w:val="001B5A89"/>
    <w:rsid w:val="001B5D99"/>
    <w:rsid w:val="001B6087"/>
    <w:rsid w:val="001B60C0"/>
    <w:rsid w:val="001C1C07"/>
    <w:rsid w:val="001C1C18"/>
    <w:rsid w:val="001C6A47"/>
    <w:rsid w:val="001C7C97"/>
    <w:rsid w:val="001D0F56"/>
    <w:rsid w:val="001E1087"/>
    <w:rsid w:val="001E1A2B"/>
    <w:rsid w:val="001E2DE8"/>
    <w:rsid w:val="001E3FC3"/>
    <w:rsid w:val="001E4542"/>
    <w:rsid w:val="001E46D0"/>
    <w:rsid w:val="001F0A67"/>
    <w:rsid w:val="001F2196"/>
    <w:rsid w:val="001F22C1"/>
    <w:rsid w:val="001F5723"/>
    <w:rsid w:val="001F6474"/>
    <w:rsid w:val="0020076C"/>
    <w:rsid w:val="00200858"/>
    <w:rsid w:val="00201E53"/>
    <w:rsid w:val="002026DC"/>
    <w:rsid w:val="0020292F"/>
    <w:rsid w:val="0020335E"/>
    <w:rsid w:val="0020402E"/>
    <w:rsid w:val="0020481A"/>
    <w:rsid w:val="002073D7"/>
    <w:rsid w:val="00207438"/>
    <w:rsid w:val="00211BF6"/>
    <w:rsid w:val="00213D16"/>
    <w:rsid w:val="002140BA"/>
    <w:rsid w:val="002142D4"/>
    <w:rsid w:val="00221127"/>
    <w:rsid w:val="00221EFD"/>
    <w:rsid w:val="002227D0"/>
    <w:rsid w:val="00222E39"/>
    <w:rsid w:val="00223D84"/>
    <w:rsid w:val="00224915"/>
    <w:rsid w:val="00224B58"/>
    <w:rsid w:val="00225E43"/>
    <w:rsid w:val="0022643B"/>
    <w:rsid w:val="002274B2"/>
    <w:rsid w:val="0022788C"/>
    <w:rsid w:val="00230420"/>
    <w:rsid w:val="00230845"/>
    <w:rsid w:val="002323C2"/>
    <w:rsid w:val="00233BE8"/>
    <w:rsid w:val="00233EE8"/>
    <w:rsid w:val="002353CF"/>
    <w:rsid w:val="002412BA"/>
    <w:rsid w:val="0024401A"/>
    <w:rsid w:val="00244B61"/>
    <w:rsid w:val="002457E4"/>
    <w:rsid w:val="00246D9E"/>
    <w:rsid w:val="002505C9"/>
    <w:rsid w:val="00250E63"/>
    <w:rsid w:val="0025194B"/>
    <w:rsid w:val="002528A5"/>
    <w:rsid w:val="00252AD3"/>
    <w:rsid w:val="002535EC"/>
    <w:rsid w:val="0025421F"/>
    <w:rsid w:val="002551CE"/>
    <w:rsid w:val="0025730B"/>
    <w:rsid w:val="00257C7A"/>
    <w:rsid w:val="00262274"/>
    <w:rsid w:val="0026276E"/>
    <w:rsid w:val="002649FA"/>
    <w:rsid w:val="00266D7A"/>
    <w:rsid w:val="0026710A"/>
    <w:rsid w:val="00267D42"/>
    <w:rsid w:val="00267F9E"/>
    <w:rsid w:val="0027159D"/>
    <w:rsid w:val="00272FEA"/>
    <w:rsid w:val="0027510A"/>
    <w:rsid w:val="002804B3"/>
    <w:rsid w:val="00281782"/>
    <w:rsid w:val="00281B51"/>
    <w:rsid w:val="002826FE"/>
    <w:rsid w:val="002833F8"/>
    <w:rsid w:val="00284BA3"/>
    <w:rsid w:val="00285C21"/>
    <w:rsid w:val="0028632D"/>
    <w:rsid w:val="00286489"/>
    <w:rsid w:val="0029124E"/>
    <w:rsid w:val="00293BEF"/>
    <w:rsid w:val="00293D30"/>
    <w:rsid w:val="00294439"/>
    <w:rsid w:val="00295324"/>
    <w:rsid w:val="00295965"/>
    <w:rsid w:val="002A1D97"/>
    <w:rsid w:val="002A1E02"/>
    <w:rsid w:val="002A2BD9"/>
    <w:rsid w:val="002A309D"/>
    <w:rsid w:val="002A3AF5"/>
    <w:rsid w:val="002A4471"/>
    <w:rsid w:val="002A4618"/>
    <w:rsid w:val="002A4ACD"/>
    <w:rsid w:val="002A6070"/>
    <w:rsid w:val="002A6854"/>
    <w:rsid w:val="002A78E7"/>
    <w:rsid w:val="002B14B8"/>
    <w:rsid w:val="002B2391"/>
    <w:rsid w:val="002B2675"/>
    <w:rsid w:val="002B2D70"/>
    <w:rsid w:val="002B2FF7"/>
    <w:rsid w:val="002B5A20"/>
    <w:rsid w:val="002B5D86"/>
    <w:rsid w:val="002B6B92"/>
    <w:rsid w:val="002B7182"/>
    <w:rsid w:val="002C2AF8"/>
    <w:rsid w:val="002C335B"/>
    <w:rsid w:val="002C4CFF"/>
    <w:rsid w:val="002C6230"/>
    <w:rsid w:val="002D1CDB"/>
    <w:rsid w:val="002D676C"/>
    <w:rsid w:val="002E38FD"/>
    <w:rsid w:val="002E3DC2"/>
    <w:rsid w:val="002E414E"/>
    <w:rsid w:val="002E6C28"/>
    <w:rsid w:val="002E7CBD"/>
    <w:rsid w:val="002F0024"/>
    <w:rsid w:val="002F02DC"/>
    <w:rsid w:val="002F2635"/>
    <w:rsid w:val="002F404E"/>
    <w:rsid w:val="002F470E"/>
    <w:rsid w:val="002F592D"/>
    <w:rsid w:val="002F61D9"/>
    <w:rsid w:val="002F75CB"/>
    <w:rsid w:val="00301DC4"/>
    <w:rsid w:val="00302045"/>
    <w:rsid w:val="003042CE"/>
    <w:rsid w:val="00305460"/>
    <w:rsid w:val="00306781"/>
    <w:rsid w:val="00306B6F"/>
    <w:rsid w:val="003071F8"/>
    <w:rsid w:val="00307FAF"/>
    <w:rsid w:val="00310211"/>
    <w:rsid w:val="0031137A"/>
    <w:rsid w:val="003114E2"/>
    <w:rsid w:val="00312897"/>
    <w:rsid w:val="00312DB9"/>
    <w:rsid w:val="00313F7A"/>
    <w:rsid w:val="00315274"/>
    <w:rsid w:val="00315F49"/>
    <w:rsid w:val="00317C12"/>
    <w:rsid w:val="00320543"/>
    <w:rsid w:val="00320578"/>
    <w:rsid w:val="00321C21"/>
    <w:rsid w:val="00322B60"/>
    <w:rsid w:val="003231C5"/>
    <w:rsid w:val="003244E0"/>
    <w:rsid w:val="00325D43"/>
    <w:rsid w:val="00325F47"/>
    <w:rsid w:val="00326865"/>
    <w:rsid w:val="00327103"/>
    <w:rsid w:val="0032722C"/>
    <w:rsid w:val="00330370"/>
    <w:rsid w:val="00332E17"/>
    <w:rsid w:val="003431B6"/>
    <w:rsid w:val="003434F0"/>
    <w:rsid w:val="00345F47"/>
    <w:rsid w:val="00347843"/>
    <w:rsid w:val="00347CC4"/>
    <w:rsid w:val="0035395F"/>
    <w:rsid w:val="00353EF7"/>
    <w:rsid w:val="00356D82"/>
    <w:rsid w:val="00357F11"/>
    <w:rsid w:val="00360037"/>
    <w:rsid w:val="003611DC"/>
    <w:rsid w:val="00361A47"/>
    <w:rsid w:val="0036284A"/>
    <w:rsid w:val="00363FE3"/>
    <w:rsid w:val="00366C74"/>
    <w:rsid w:val="00366D7F"/>
    <w:rsid w:val="003675F7"/>
    <w:rsid w:val="00367BEA"/>
    <w:rsid w:val="00370077"/>
    <w:rsid w:val="00370B78"/>
    <w:rsid w:val="00370C1C"/>
    <w:rsid w:val="0037118E"/>
    <w:rsid w:val="00373372"/>
    <w:rsid w:val="00373833"/>
    <w:rsid w:val="0037532B"/>
    <w:rsid w:val="00376773"/>
    <w:rsid w:val="00380F3B"/>
    <w:rsid w:val="003811CF"/>
    <w:rsid w:val="0038131A"/>
    <w:rsid w:val="00381394"/>
    <w:rsid w:val="00381BF5"/>
    <w:rsid w:val="00385057"/>
    <w:rsid w:val="00386DF7"/>
    <w:rsid w:val="00392046"/>
    <w:rsid w:val="00392D79"/>
    <w:rsid w:val="00392E82"/>
    <w:rsid w:val="003944EA"/>
    <w:rsid w:val="00394871"/>
    <w:rsid w:val="00395342"/>
    <w:rsid w:val="00395AF6"/>
    <w:rsid w:val="00397B44"/>
    <w:rsid w:val="003A1446"/>
    <w:rsid w:val="003A57E6"/>
    <w:rsid w:val="003A59A2"/>
    <w:rsid w:val="003A5D06"/>
    <w:rsid w:val="003A6186"/>
    <w:rsid w:val="003A640D"/>
    <w:rsid w:val="003A735B"/>
    <w:rsid w:val="003B501E"/>
    <w:rsid w:val="003B76C7"/>
    <w:rsid w:val="003C156D"/>
    <w:rsid w:val="003C2C6D"/>
    <w:rsid w:val="003C75C3"/>
    <w:rsid w:val="003C7CF6"/>
    <w:rsid w:val="003C7F61"/>
    <w:rsid w:val="003D18EB"/>
    <w:rsid w:val="003D1B91"/>
    <w:rsid w:val="003D5F50"/>
    <w:rsid w:val="003D72D1"/>
    <w:rsid w:val="003E0857"/>
    <w:rsid w:val="003E0B2D"/>
    <w:rsid w:val="003E1B4B"/>
    <w:rsid w:val="003E3AC8"/>
    <w:rsid w:val="003E49E8"/>
    <w:rsid w:val="003E4B53"/>
    <w:rsid w:val="003E57D7"/>
    <w:rsid w:val="003E5DB2"/>
    <w:rsid w:val="003E7F63"/>
    <w:rsid w:val="003F282A"/>
    <w:rsid w:val="003F34BC"/>
    <w:rsid w:val="003F6156"/>
    <w:rsid w:val="00402027"/>
    <w:rsid w:val="004021EE"/>
    <w:rsid w:val="004023ED"/>
    <w:rsid w:val="004040BA"/>
    <w:rsid w:val="004045D9"/>
    <w:rsid w:val="00404711"/>
    <w:rsid w:val="00406067"/>
    <w:rsid w:val="00407F19"/>
    <w:rsid w:val="0041001A"/>
    <w:rsid w:val="00412AAF"/>
    <w:rsid w:val="00413F87"/>
    <w:rsid w:val="00421F93"/>
    <w:rsid w:val="004222B8"/>
    <w:rsid w:val="00422A68"/>
    <w:rsid w:val="00422C2C"/>
    <w:rsid w:val="0042365A"/>
    <w:rsid w:val="004246A1"/>
    <w:rsid w:val="004246C1"/>
    <w:rsid w:val="004278CE"/>
    <w:rsid w:val="00430FF5"/>
    <w:rsid w:val="00432EC2"/>
    <w:rsid w:val="00433253"/>
    <w:rsid w:val="00433C90"/>
    <w:rsid w:val="00436840"/>
    <w:rsid w:val="00437F64"/>
    <w:rsid w:val="00440B01"/>
    <w:rsid w:val="00441B70"/>
    <w:rsid w:val="00443D7C"/>
    <w:rsid w:val="00447A43"/>
    <w:rsid w:val="0045039B"/>
    <w:rsid w:val="004521CB"/>
    <w:rsid w:val="00452408"/>
    <w:rsid w:val="0045322F"/>
    <w:rsid w:val="004547BA"/>
    <w:rsid w:val="00455D91"/>
    <w:rsid w:val="00455E8F"/>
    <w:rsid w:val="004607F6"/>
    <w:rsid w:val="00463BC9"/>
    <w:rsid w:val="00465C3B"/>
    <w:rsid w:val="00465D70"/>
    <w:rsid w:val="00465D88"/>
    <w:rsid w:val="00467369"/>
    <w:rsid w:val="004730B6"/>
    <w:rsid w:val="00475A8B"/>
    <w:rsid w:val="00476111"/>
    <w:rsid w:val="00483114"/>
    <w:rsid w:val="004840E1"/>
    <w:rsid w:val="00484329"/>
    <w:rsid w:val="004857C2"/>
    <w:rsid w:val="0048775D"/>
    <w:rsid w:val="00487DFC"/>
    <w:rsid w:val="004915EA"/>
    <w:rsid w:val="00493A31"/>
    <w:rsid w:val="00494A0B"/>
    <w:rsid w:val="00495380"/>
    <w:rsid w:val="004957D7"/>
    <w:rsid w:val="004A01CA"/>
    <w:rsid w:val="004A02D4"/>
    <w:rsid w:val="004A14B5"/>
    <w:rsid w:val="004A4639"/>
    <w:rsid w:val="004A57E7"/>
    <w:rsid w:val="004B0B92"/>
    <w:rsid w:val="004B3818"/>
    <w:rsid w:val="004B580A"/>
    <w:rsid w:val="004B5951"/>
    <w:rsid w:val="004C15C6"/>
    <w:rsid w:val="004C3282"/>
    <w:rsid w:val="004C3399"/>
    <w:rsid w:val="004C3E32"/>
    <w:rsid w:val="004C4F59"/>
    <w:rsid w:val="004C4F9E"/>
    <w:rsid w:val="004C6775"/>
    <w:rsid w:val="004C7EFF"/>
    <w:rsid w:val="004D0782"/>
    <w:rsid w:val="004D0BA4"/>
    <w:rsid w:val="004D100B"/>
    <w:rsid w:val="004D11A5"/>
    <w:rsid w:val="004D1666"/>
    <w:rsid w:val="004D2CE9"/>
    <w:rsid w:val="004D2E25"/>
    <w:rsid w:val="004D2F07"/>
    <w:rsid w:val="004D3C49"/>
    <w:rsid w:val="004D72A1"/>
    <w:rsid w:val="004D737A"/>
    <w:rsid w:val="004E0A31"/>
    <w:rsid w:val="004E12C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5F61"/>
    <w:rsid w:val="00506E3E"/>
    <w:rsid w:val="00507A68"/>
    <w:rsid w:val="00510473"/>
    <w:rsid w:val="00513D8C"/>
    <w:rsid w:val="005144E1"/>
    <w:rsid w:val="005152E4"/>
    <w:rsid w:val="00515FA2"/>
    <w:rsid w:val="00517B62"/>
    <w:rsid w:val="00522CFB"/>
    <w:rsid w:val="00522DA4"/>
    <w:rsid w:val="00522DC7"/>
    <w:rsid w:val="00530C61"/>
    <w:rsid w:val="00534043"/>
    <w:rsid w:val="00537B54"/>
    <w:rsid w:val="0054055C"/>
    <w:rsid w:val="005405DE"/>
    <w:rsid w:val="00541E09"/>
    <w:rsid w:val="00543F22"/>
    <w:rsid w:val="00544287"/>
    <w:rsid w:val="005443B9"/>
    <w:rsid w:val="005447D3"/>
    <w:rsid w:val="00545026"/>
    <w:rsid w:val="00555C35"/>
    <w:rsid w:val="005562BB"/>
    <w:rsid w:val="00556753"/>
    <w:rsid w:val="00556848"/>
    <w:rsid w:val="005575BD"/>
    <w:rsid w:val="00560F05"/>
    <w:rsid w:val="00561561"/>
    <w:rsid w:val="0056354A"/>
    <w:rsid w:val="005641B5"/>
    <w:rsid w:val="005665FC"/>
    <w:rsid w:val="00570BD8"/>
    <w:rsid w:val="00573ED4"/>
    <w:rsid w:val="00573F4A"/>
    <w:rsid w:val="00575716"/>
    <w:rsid w:val="005768E3"/>
    <w:rsid w:val="00576DD2"/>
    <w:rsid w:val="00577967"/>
    <w:rsid w:val="0058002E"/>
    <w:rsid w:val="0058351D"/>
    <w:rsid w:val="0058368A"/>
    <w:rsid w:val="0058373C"/>
    <w:rsid w:val="00583F16"/>
    <w:rsid w:val="00585A00"/>
    <w:rsid w:val="005861C3"/>
    <w:rsid w:val="0058623C"/>
    <w:rsid w:val="00587067"/>
    <w:rsid w:val="005876F6"/>
    <w:rsid w:val="00590492"/>
    <w:rsid w:val="00590DD4"/>
    <w:rsid w:val="00591C6E"/>
    <w:rsid w:val="005A0F19"/>
    <w:rsid w:val="005A2FB7"/>
    <w:rsid w:val="005A62AC"/>
    <w:rsid w:val="005B2314"/>
    <w:rsid w:val="005B5B66"/>
    <w:rsid w:val="005B6CBE"/>
    <w:rsid w:val="005C094F"/>
    <w:rsid w:val="005C0A59"/>
    <w:rsid w:val="005C15A5"/>
    <w:rsid w:val="005C1EE8"/>
    <w:rsid w:val="005C243A"/>
    <w:rsid w:val="005C2DEF"/>
    <w:rsid w:val="005C5EC2"/>
    <w:rsid w:val="005C6323"/>
    <w:rsid w:val="005C6A42"/>
    <w:rsid w:val="005C7929"/>
    <w:rsid w:val="005D0401"/>
    <w:rsid w:val="005D05E1"/>
    <w:rsid w:val="005D111C"/>
    <w:rsid w:val="005D1A7B"/>
    <w:rsid w:val="005D1CE4"/>
    <w:rsid w:val="005D201E"/>
    <w:rsid w:val="005D2DC0"/>
    <w:rsid w:val="005D3124"/>
    <w:rsid w:val="005D400F"/>
    <w:rsid w:val="005D667B"/>
    <w:rsid w:val="005D73F3"/>
    <w:rsid w:val="005D7B70"/>
    <w:rsid w:val="005E1A0E"/>
    <w:rsid w:val="005E1CFC"/>
    <w:rsid w:val="005E2BE4"/>
    <w:rsid w:val="005E3F0C"/>
    <w:rsid w:val="005E4B2C"/>
    <w:rsid w:val="005E698C"/>
    <w:rsid w:val="005F08D8"/>
    <w:rsid w:val="005F1448"/>
    <w:rsid w:val="005F241F"/>
    <w:rsid w:val="005F6294"/>
    <w:rsid w:val="005F6384"/>
    <w:rsid w:val="005F73A3"/>
    <w:rsid w:val="0060054B"/>
    <w:rsid w:val="00600BA7"/>
    <w:rsid w:val="0060105A"/>
    <w:rsid w:val="00601CF8"/>
    <w:rsid w:val="00603763"/>
    <w:rsid w:val="006040A7"/>
    <w:rsid w:val="00604EFF"/>
    <w:rsid w:val="00607DCF"/>
    <w:rsid w:val="00607E54"/>
    <w:rsid w:val="00607F63"/>
    <w:rsid w:val="006101CF"/>
    <w:rsid w:val="00611525"/>
    <w:rsid w:val="00611A6F"/>
    <w:rsid w:val="00615A77"/>
    <w:rsid w:val="00616B01"/>
    <w:rsid w:val="00617109"/>
    <w:rsid w:val="006202BA"/>
    <w:rsid w:val="0062160A"/>
    <w:rsid w:val="00621708"/>
    <w:rsid w:val="00624E55"/>
    <w:rsid w:val="00625482"/>
    <w:rsid w:val="00625A61"/>
    <w:rsid w:val="00625AB2"/>
    <w:rsid w:val="00626DC8"/>
    <w:rsid w:val="00627AAB"/>
    <w:rsid w:val="0063045B"/>
    <w:rsid w:val="006304CA"/>
    <w:rsid w:val="00630554"/>
    <w:rsid w:val="0063088D"/>
    <w:rsid w:val="00632ABA"/>
    <w:rsid w:val="00633D91"/>
    <w:rsid w:val="00637D26"/>
    <w:rsid w:val="00642BB9"/>
    <w:rsid w:val="00642FF4"/>
    <w:rsid w:val="006464A7"/>
    <w:rsid w:val="00651948"/>
    <w:rsid w:val="00651C8D"/>
    <w:rsid w:val="006524F8"/>
    <w:rsid w:val="006526A0"/>
    <w:rsid w:val="006548DD"/>
    <w:rsid w:val="0065495C"/>
    <w:rsid w:val="00654A52"/>
    <w:rsid w:val="00657E0A"/>
    <w:rsid w:val="00661A19"/>
    <w:rsid w:val="00662A5E"/>
    <w:rsid w:val="00664092"/>
    <w:rsid w:val="0066456A"/>
    <w:rsid w:val="00664A86"/>
    <w:rsid w:val="00664DBB"/>
    <w:rsid w:val="006666E4"/>
    <w:rsid w:val="006674E9"/>
    <w:rsid w:val="006676A7"/>
    <w:rsid w:val="0066787D"/>
    <w:rsid w:val="00667AFC"/>
    <w:rsid w:val="00667FF8"/>
    <w:rsid w:val="006701C0"/>
    <w:rsid w:val="006706CA"/>
    <w:rsid w:val="00670B2F"/>
    <w:rsid w:val="00671226"/>
    <w:rsid w:val="00671A7E"/>
    <w:rsid w:val="00672D90"/>
    <w:rsid w:val="006733AB"/>
    <w:rsid w:val="00673639"/>
    <w:rsid w:val="0067383D"/>
    <w:rsid w:val="006759E2"/>
    <w:rsid w:val="00675DA2"/>
    <w:rsid w:val="00680C52"/>
    <w:rsid w:val="006859CD"/>
    <w:rsid w:val="0069054E"/>
    <w:rsid w:val="00690E0A"/>
    <w:rsid w:val="00692D3F"/>
    <w:rsid w:val="0069452E"/>
    <w:rsid w:val="00694691"/>
    <w:rsid w:val="00694F09"/>
    <w:rsid w:val="0069634D"/>
    <w:rsid w:val="00696FEB"/>
    <w:rsid w:val="006A23C4"/>
    <w:rsid w:val="006A41A6"/>
    <w:rsid w:val="006A6D48"/>
    <w:rsid w:val="006A6FC4"/>
    <w:rsid w:val="006A7B0F"/>
    <w:rsid w:val="006B4AC4"/>
    <w:rsid w:val="006B500D"/>
    <w:rsid w:val="006B50D5"/>
    <w:rsid w:val="006B5D7E"/>
    <w:rsid w:val="006C173F"/>
    <w:rsid w:val="006C3260"/>
    <w:rsid w:val="006C3FA1"/>
    <w:rsid w:val="006C469C"/>
    <w:rsid w:val="006C6F3E"/>
    <w:rsid w:val="006C73A6"/>
    <w:rsid w:val="006D468A"/>
    <w:rsid w:val="006D50CD"/>
    <w:rsid w:val="006E01C0"/>
    <w:rsid w:val="006E10DD"/>
    <w:rsid w:val="006E15DC"/>
    <w:rsid w:val="006E70C6"/>
    <w:rsid w:val="006E75C8"/>
    <w:rsid w:val="006E799B"/>
    <w:rsid w:val="006E7A81"/>
    <w:rsid w:val="006F045B"/>
    <w:rsid w:val="006F0D11"/>
    <w:rsid w:val="006F2D72"/>
    <w:rsid w:val="006F46CA"/>
    <w:rsid w:val="006F4954"/>
    <w:rsid w:val="006F57C5"/>
    <w:rsid w:val="006F6A37"/>
    <w:rsid w:val="006F7159"/>
    <w:rsid w:val="007025AD"/>
    <w:rsid w:val="007047B3"/>
    <w:rsid w:val="00705DBB"/>
    <w:rsid w:val="00705EBD"/>
    <w:rsid w:val="0070737C"/>
    <w:rsid w:val="00710CF9"/>
    <w:rsid w:val="007136EE"/>
    <w:rsid w:val="00714114"/>
    <w:rsid w:val="007215EA"/>
    <w:rsid w:val="007310F9"/>
    <w:rsid w:val="007369B2"/>
    <w:rsid w:val="00740D67"/>
    <w:rsid w:val="00740F2B"/>
    <w:rsid w:val="00742313"/>
    <w:rsid w:val="0074400E"/>
    <w:rsid w:val="0074483C"/>
    <w:rsid w:val="0074645E"/>
    <w:rsid w:val="00746D96"/>
    <w:rsid w:val="007477E1"/>
    <w:rsid w:val="00750BAF"/>
    <w:rsid w:val="00750ED2"/>
    <w:rsid w:val="00751230"/>
    <w:rsid w:val="00756A88"/>
    <w:rsid w:val="0076102B"/>
    <w:rsid w:val="00763B78"/>
    <w:rsid w:val="00763EA6"/>
    <w:rsid w:val="007642C6"/>
    <w:rsid w:val="00764BE1"/>
    <w:rsid w:val="00765854"/>
    <w:rsid w:val="00765916"/>
    <w:rsid w:val="00765F82"/>
    <w:rsid w:val="007708D8"/>
    <w:rsid w:val="007718C5"/>
    <w:rsid w:val="00771CA7"/>
    <w:rsid w:val="00773ECC"/>
    <w:rsid w:val="0077548E"/>
    <w:rsid w:val="00776119"/>
    <w:rsid w:val="00776DD8"/>
    <w:rsid w:val="00777A11"/>
    <w:rsid w:val="00777C2F"/>
    <w:rsid w:val="00780810"/>
    <w:rsid w:val="00781F44"/>
    <w:rsid w:val="007827A2"/>
    <w:rsid w:val="00783040"/>
    <w:rsid w:val="007835F8"/>
    <w:rsid w:val="007838D2"/>
    <w:rsid w:val="007849C8"/>
    <w:rsid w:val="00785FD1"/>
    <w:rsid w:val="00786585"/>
    <w:rsid w:val="007869AC"/>
    <w:rsid w:val="007869BF"/>
    <w:rsid w:val="007878E0"/>
    <w:rsid w:val="0079373C"/>
    <w:rsid w:val="007956EB"/>
    <w:rsid w:val="0079578C"/>
    <w:rsid w:val="0079591A"/>
    <w:rsid w:val="00795DA3"/>
    <w:rsid w:val="007971F5"/>
    <w:rsid w:val="007973D2"/>
    <w:rsid w:val="007A10C1"/>
    <w:rsid w:val="007A2F5A"/>
    <w:rsid w:val="007A520D"/>
    <w:rsid w:val="007A74E2"/>
    <w:rsid w:val="007B1657"/>
    <w:rsid w:val="007B2007"/>
    <w:rsid w:val="007B43F6"/>
    <w:rsid w:val="007B4E07"/>
    <w:rsid w:val="007B62A2"/>
    <w:rsid w:val="007B67E7"/>
    <w:rsid w:val="007B68A1"/>
    <w:rsid w:val="007C0BC3"/>
    <w:rsid w:val="007C3B5B"/>
    <w:rsid w:val="007C4936"/>
    <w:rsid w:val="007C6F78"/>
    <w:rsid w:val="007D169F"/>
    <w:rsid w:val="007D276C"/>
    <w:rsid w:val="007D3E06"/>
    <w:rsid w:val="007D56D3"/>
    <w:rsid w:val="007D774C"/>
    <w:rsid w:val="007D7AB8"/>
    <w:rsid w:val="007D7D11"/>
    <w:rsid w:val="007E078F"/>
    <w:rsid w:val="007E0F99"/>
    <w:rsid w:val="007E1E9E"/>
    <w:rsid w:val="007E30B0"/>
    <w:rsid w:val="007E396D"/>
    <w:rsid w:val="007E4CB7"/>
    <w:rsid w:val="007E6018"/>
    <w:rsid w:val="007F0081"/>
    <w:rsid w:val="007F0714"/>
    <w:rsid w:val="007F07DF"/>
    <w:rsid w:val="007F1B14"/>
    <w:rsid w:val="007F2089"/>
    <w:rsid w:val="007F2829"/>
    <w:rsid w:val="007F4C34"/>
    <w:rsid w:val="007F56FF"/>
    <w:rsid w:val="007F73CB"/>
    <w:rsid w:val="008022E9"/>
    <w:rsid w:val="00803B13"/>
    <w:rsid w:val="00804AB3"/>
    <w:rsid w:val="008056CD"/>
    <w:rsid w:val="0080661E"/>
    <w:rsid w:val="008077A0"/>
    <w:rsid w:val="00807E6D"/>
    <w:rsid w:val="00810014"/>
    <w:rsid w:val="008107F9"/>
    <w:rsid w:val="008108FE"/>
    <w:rsid w:val="0081095F"/>
    <w:rsid w:val="00812492"/>
    <w:rsid w:val="00812D84"/>
    <w:rsid w:val="00814C91"/>
    <w:rsid w:val="00815141"/>
    <w:rsid w:val="00820759"/>
    <w:rsid w:val="00820CC6"/>
    <w:rsid w:val="00821A8C"/>
    <w:rsid w:val="00821AF5"/>
    <w:rsid w:val="00822807"/>
    <w:rsid w:val="00822EB0"/>
    <w:rsid w:val="00823041"/>
    <w:rsid w:val="00823E00"/>
    <w:rsid w:val="00826246"/>
    <w:rsid w:val="00826B03"/>
    <w:rsid w:val="00827B11"/>
    <w:rsid w:val="00827BB5"/>
    <w:rsid w:val="0083128B"/>
    <w:rsid w:val="00831646"/>
    <w:rsid w:val="008318B6"/>
    <w:rsid w:val="00834806"/>
    <w:rsid w:val="008354AB"/>
    <w:rsid w:val="0083715E"/>
    <w:rsid w:val="008419E2"/>
    <w:rsid w:val="00841E81"/>
    <w:rsid w:val="0084462C"/>
    <w:rsid w:val="00844BDC"/>
    <w:rsid w:val="00846CE9"/>
    <w:rsid w:val="00846EF5"/>
    <w:rsid w:val="0085006C"/>
    <w:rsid w:val="00850806"/>
    <w:rsid w:val="00851901"/>
    <w:rsid w:val="00853437"/>
    <w:rsid w:val="008575F9"/>
    <w:rsid w:val="00860496"/>
    <w:rsid w:val="00860CB0"/>
    <w:rsid w:val="00862366"/>
    <w:rsid w:val="00864075"/>
    <w:rsid w:val="00864F43"/>
    <w:rsid w:val="00865806"/>
    <w:rsid w:val="00865B2E"/>
    <w:rsid w:val="0086696C"/>
    <w:rsid w:val="00867593"/>
    <w:rsid w:val="00867852"/>
    <w:rsid w:val="008717DC"/>
    <w:rsid w:val="00871BB2"/>
    <w:rsid w:val="008724C8"/>
    <w:rsid w:val="0087416A"/>
    <w:rsid w:val="008745DA"/>
    <w:rsid w:val="00874742"/>
    <w:rsid w:val="008754D8"/>
    <w:rsid w:val="00877A65"/>
    <w:rsid w:val="00877BC1"/>
    <w:rsid w:val="00880886"/>
    <w:rsid w:val="008810FE"/>
    <w:rsid w:val="0088231A"/>
    <w:rsid w:val="00882C27"/>
    <w:rsid w:val="008847E4"/>
    <w:rsid w:val="00884857"/>
    <w:rsid w:val="0089092C"/>
    <w:rsid w:val="00891769"/>
    <w:rsid w:val="00893211"/>
    <w:rsid w:val="00893673"/>
    <w:rsid w:val="00895C24"/>
    <w:rsid w:val="00896B35"/>
    <w:rsid w:val="00896C59"/>
    <w:rsid w:val="00897B26"/>
    <w:rsid w:val="008A0327"/>
    <w:rsid w:val="008A076E"/>
    <w:rsid w:val="008A3FAE"/>
    <w:rsid w:val="008A4FD9"/>
    <w:rsid w:val="008A607F"/>
    <w:rsid w:val="008A63E7"/>
    <w:rsid w:val="008A7CCB"/>
    <w:rsid w:val="008B20DB"/>
    <w:rsid w:val="008B2735"/>
    <w:rsid w:val="008B4B16"/>
    <w:rsid w:val="008C1460"/>
    <w:rsid w:val="008C2A96"/>
    <w:rsid w:val="008C2EAB"/>
    <w:rsid w:val="008C380D"/>
    <w:rsid w:val="008C3846"/>
    <w:rsid w:val="008C39D1"/>
    <w:rsid w:val="008C660C"/>
    <w:rsid w:val="008C7112"/>
    <w:rsid w:val="008C7E79"/>
    <w:rsid w:val="008D0780"/>
    <w:rsid w:val="008D10AE"/>
    <w:rsid w:val="008D2C5E"/>
    <w:rsid w:val="008D6172"/>
    <w:rsid w:val="008D7162"/>
    <w:rsid w:val="008E3205"/>
    <w:rsid w:val="008E349E"/>
    <w:rsid w:val="008E3A84"/>
    <w:rsid w:val="008E45F7"/>
    <w:rsid w:val="008E530A"/>
    <w:rsid w:val="008E5956"/>
    <w:rsid w:val="008F1F4A"/>
    <w:rsid w:val="008F227F"/>
    <w:rsid w:val="008F3252"/>
    <w:rsid w:val="008F5169"/>
    <w:rsid w:val="008F78E8"/>
    <w:rsid w:val="008F7985"/>
    <w:rsid w:val="0090000E"/>
    <w:rsid w:val="00900618"/>
    <w:rsid w:val="0090407D"/>
    <w:rsid w:val="00904117"/>
    <w:rsid w:val="00905933"/>
    <w:rsid w:val="00906628"/>
    <w:rsid w:val="00910B4B"/>
    <w:rsid w:val="009111D8"/>
    <w:rsid w:val="00911D0C"/>
    <w:rsid w:val="0091207D"/>
    <w:rsid w:val="009122C2"/>
    <w:rsid w:val="00912BD9"/>
    <w:rsid w:val="00913561"/>
    <w:rsid w:val="009228B4"/>
    <w:rsid w:val="009233CD"/>
    <w:rsid w:val="009249D2"/>
    <w:rsid w:val="009266EA"/>
    <w:rsid w:val="00926DF9"/>
    <w:rsid w:val="00930C61"/>
    <w:rsid w:val="0093461B"/>
    <w:rsid w:val="009429DB"/>
    <w:rsid w:val="009433B9"/>
    <w:rsid w:val="00943DDC"/>
    <w:rsid w:val="0094573A"/>
    <w:rsid w:val="00945D75"/>
    <w:rsid w:val="00946A9A"/>
    <w:rsid w:val="00951747"/>
    <w:rsid w:val="00951EA7"/>
    <w:rsid w:val="00952739"/>
    <w:rsid w:val="00954E01"/>
    <w:rsid w:val="00954E08"/>
    <w:rsid w:val="009565B6"/>
    <w:rsid w:val="00957324"/>
    <w:rsid w:val="00957C7C"/>
    <w:rsid w:val="0096059B"/>
    <w:rsid w:val="00961B0D"/>
    <w:rsid w:val="0096544B"/>
    <w:rsid w:val="00970DA9"/>
    <w:rsid w:val="0097150C"/>
    <w:rsid w:val="00972220"/>
    <w:rsid w:val="00972754"/>
    <w:rsid w:val="009733FA"/>
    <w:rsid w:val="00975579"/>
    <w:rsid w:val="00975591"/>
    <w:rsid w:val="009838DF"/>
    <w:rsid w:val="00983ABB"/>
    <w:rsid w:val="009905F4"/>
    <w:rsid w:val="009908DB"/>
    <w:rsid w:val="009951F1"/>
    <w:rsid w:val="0099574A"/>
    <w:rsid w:val="00995F6B"/>
    <w:rsid w:val="009A1128"/>
    <w:rsid w:val="009A3AD1"/>
    <w:rsid w:val="009A4514"/>
    <w:rsid w:val="009A4D38"/>
    <w:rsid w:val="009A5C26"/>
    <w:rsid w:val="009A659F"/>
    <w:rsid w:val="009A79FF"/>
    <w:rsid w:val="009A7C58"/>
    <w:rsid w:val="009B0C84"/>
    <w:rsid w:val="009B2EB5"/>
    <w:rsid w:val="009B4068"/>
    <w:rsid w:val="009B6019"/>
    <w:rsid w:val="009B606F"/>
    <w:rsid w:val="009B6645"/>
    <w:rsid w:val="009B68D4"/>
    <w:rsid w:val="009B732E"/>
    <w:rsid w:val="009C039E"/>
    <w:rsid w:val="009C3847"/>
    <w:rsid w:val="009C4079"/>
    <w:rsid w:val="009C40E7"/>
    <w:rsid w:val="009C4E10"/>
    <w:rsid w:val="009C5EE5"/>
    <w:rsid w:val="009C6B0C"/>
    <w:rsid w:val="009C71EF"/>
    <w:rsid w:val="009C7844"/>
    <w:rsid w:val="009D006D"/>
    <w:rsid w:val="009D0F02"/>
    <w:rsid w:val="009D3437"/>
    <w:rsid w:val="009D3B5B"/>
    <w:rsid w:val="009D5955"/>
    <w:rsid w:val="009D67A1"/>
    <w:rsid w:val="009D7384"/>
    <w:rsid w:val="009D7867"/>
    <w:rsid w:val="009E010D"/>
    <w:rsid w:val="009E0EAF"/>
    <w:rsid w:val="009E485E"/>
    <w:rsid w:val="009E4E07"/>
    <w:rsid w:val="009E79BC"/>
    <w:rsid w:val="009F0C91"/>
    <w:rsid w:val="009F219B"/>
    <w:rsid w:val="009F26D1"/>
    <w:rsid w:val="009F2B58"/>
    <w:rsid w:val="009F4238"/>
    <w:rsid w:val="009F7095"/>
    <w:rsid w:val="009F74D2"/>
    <w:rsid w:val="009F79FC"/>
    <w:rsid w:val="00A00FBF"/>
    <w:rsid w:val="00A02DAF"/>
    <w:rsid w:val="00A0575B"/>
    <w:rsid w:val="00A0599A"/>
    <w:rsid w:val="00A0619F"/>
    <w:rsid w:val="00A06E61"/>
    <w:rsid w:val="00A102F5"/>
    <w:rsid w:val="00A122B0"/>
    <w:rsid w:val="00A13E72"/>
    <w:rsid w:val="00A151C1"/>
    <w:rsid w:val="00A15E2E"/>
    <w:rsid w:val="00A1736B"/>
    <w:rsid w:val="00A17A3D"/>
    <w:rsid w:val="00A22302"/>
    <w:rsid w:val="00A228F3"/>
    <w:rsid w:val="00A22B73"/>
    <w:rsid w:val="00A23A2C"/>
    <w:rsid w:val="00A248F0"/>
    <w:rsid w:val="00A26590"/>
    <w:rsid w:val="00A27D87"/>
    <w:rsid w:val="00A3232A"/>
    <w:rsid w:val="00A32A90"/>
    <w:rsid w:val="00A33DED"/>
    <w:rsid w:val="00A403D0"/>
    <w:rsid w:val="00A40694"/>
    <w:rsid w:val="00A422CF"/>
    <w:rsid w:val="00A429AA"/>
    <w:rsid w:val="00A42DBF"/>
    <w:rsid w:val="00A42F98"/>
    <w:rsid w:val="00A47D6F"/>
    <w:rsid w:val="00A47F76"/>
    <w:rsid w:val="00A54630"/>
    <w:rsid w:val="00A55E1D"/>
    <w:rsid w:val="00A55F77"/>
    <w:rsid w:val="00A60011"/>
    <w:rsid w:val="00A64F08"/>
    <w:rsid w:val="00A65837"/>
    <w:rsid w:val="00A663A6"/>
    <w:rsid w:val="00A671FE"/>
    <w:rsid w:val="00A67F3D"/>
    <w:rsid w:val="00A71B67"/>
    <w:rsid w:val="00A71F63"/>
    <w:rsid w:val="00A72E50"/>
    <w:rsid w:val="00A736E4"/>
    <w:rsid w:val="00A80635"/>
    <w:rsid w:val="00A807B0"/>
    <w:rsid w:val="00A81AB1"/>
    <w:rsid w:val="00A81E79"/>
    <w:rsid w:val="00A84612"/>
    <w:rsid w:val="00A84F21"/>
    <w:rsid w:val="00A86725"/>
    <w:rsid w:val="00A903EC"/>
    <w:rsid w:val="00A913E2"/>
    <w:rsid w:val="00A928A2"/>
    <w:rsid w:val="00A95447"/>
    <w:rsid w:val="00A9575D"/>
    <w:rsid w:val="00AA072C"/>
    <w:rsid w:val="00AA0B1C"/>
    <w:rsid w:val="00AA189A"/>
    <w:rsid w:val="00AA1B1C"/>
    <w:rsid w:val="00AA3132"/>
    <w:rsid w:val="00AA4A89"/>
    <w:rsid w:val="00AA7075"/>
    <w:rsid w:val="00AA7C5E"/>
    <w:rsid w:val="00AB1456"/>
    <w:rsid w:val="00AB1D38"/>
    <w:rsid w:val="00AB2658"/>
    <w:rsid w:val="00AB3027"/>
    <w:rsid w:val="00AB4627"/>
    <w:rsid w:val="00AB6CC6"/>
    <w:rsid w:val="00AC2C6E"/>
    <w:rsid w:val="00AC3F17"/>
    <w:rsid w:val="00AC6352"/>
    <w:rsid w:val="00AC6A62"/>
    <w:rsid w:val="00AC7218"/>
    <w:rsid w:val="00AD25B1"/>
    <w:rsid w:val="00AD3C93"/>
    <w:rsid w:val="00AD404D"/>
    <w:rsid w:val="00AD5679"/>
    <w:rsid w:val="00AD5DE8"/>
    <w:rsid w:val="00AE1291"/>
    <w:rsid w:val="00AE4646"/>
    <w:rsid w:val="00AE4779"/>
    <w:rsid w:val="00AF0159"/>
    <w:rsid w:val="00AF0E64"/>
    <w:rsid w:val="00AF1733"/>
    <w:rsid w:val="00AF1D35"/>
    <w:rsid w:val="00AF42CD"/>
    <w:rsid w:val="00AF540E"/>
    <w:rsid w:val="00B0029B"/>
    <w:rsid w:val="00B00505"/>
    <w:rsid w:val="00B01568"/>
    <w:rsid w:val="00B02499"/>
    <w:rsid w:val="00B03C10"/>
    <w:rsid w:val="00B05525"/>
    <w:rsid w:val="00B06776"/>
    <w:rsid w:val="00B10223"/>
    <w:rsid w:val="00B1110C"/>
    <w:rsid w:val="00B11C72"/>
    <w:rsid w:val="00B12CFB"/>
    <w:rsid w:val="00B12D91"/>
    <w:rsid w:val="00B13683"/>
    <w:rsid w:val="00B14950"/>
    <w:rsid w:val="00B14E7D"/>
    <w:rsid w:val="00B1757E"/>
    <w:rsid w:val="00B20F20"/>
    <w:rsid w:val="00B24035"/>
    <w:rsid w:val="00B24E89"/>
    <w:rsid w:val="00B2520B"/>
    <w:rsid w:val="00B25953"/>
    <w:rsid w:val="00B25F1C"/>
    <w:rsid w:val="00B27F79"/>
    <w:rsid w:val="00B3181A"/>
    <w:rsid w:val="00B31ACB"/>
    <w:rsid w:val="00B3495A"/>
    <w:rsid w:val="00B44B3E"/>
    <w:rsid w:val="00B46869"/>
    <w:rsid w:val="00B51E3C"/>
    <w:rsid w:val="00B53065"/>
    <w:rsid w:val="00B53BB0"/>
    <w:rsid w:val="00B54D9B"/>
    <w:rsid w:val="00B5581F"/>
    <w:rsid w:val="00B56920"/>
    <w:rsid w:val="00B5695F"/>
    <w:rsid w:val="00B57E41"/>
    <w:rsid w:val="00B606FC"/>
    <w:rsid w:val="00B60811"/>
    <w:rsid w:val="00B608D7"/>
    <w:rsid w:val="00B62D60"/>
    <w:rsid w:val="00B64890"/>
    <w:rsid w:val="00B70978"/>
    <w:rsid w:val="00B70E88"/>
    <w:rsid w:val="00B71766"/>
    <w:rsid w:val="00B76C46"/>
    <w:rsid w:val="00B775FC"/>
    <w:rsid w:val="00B80ABE"/>
    <w:rsid w:val="00B81941"/>
    <w:rsid w:val="00B8425C"/>
    <w:rsid w:val="00B8436B"/>
    <w:rsid w:val="00B85AFC"/>
    <w:rsid w:val="00B86685"/>
    <w:rsid w:val="00B87046"/>
    <w:rsid w:val="00B87279"/>
    <w:rsid w:val="00B900BD"/>
    <w:rsid w:val="00B929AE"/>
    <w:rsid w:val="00B92C48"/>
    <w:rsid w:val="00BA3203"/>
    <w:rsid w:val="00BA32DF"/>
    <w:rsid w:val="00BA39A0"/>
    <w:rsid w:val="00BB0A1D"/>
    <w:rsid w:val="00BB19E4"/>
    <w:rsid w:val="00BB1BF1"/>
    <w:rsid w:val="00BB34EA"/>
    <w:rsid w:val="00BB4856"/>
    <w:rsid w:val="00BB49AF"/>
    <w:rsid w:val="00BC3BE8"/>
    <w:rsid w:val="00BC4681"/>
    <w:rsid w:val="00BC5BE0"/>
    <w:rsid w:val="00BC7A59"/>
    <w:rsid w:val="00BD1456"/>
    <w:rsid w:val="00BD1691"/>
    <w:rsid w:val="00BD2C60"/>
    <w:rsid w:val="00BD3286"/>
    <w:rsid w:val="00BD4FB2"/>
    <w:rsid w:val="00BD617C"/>
    <w:rsid w:val="00BD764F"/>
    <w:rsid w:val="00BE04C5"/>
    <w:rsid w:val="00BE0EE3"/>
    <w:rsid w:val="00BE2623"/>
    <w:rsid w:val="00BE292E"/>
    <w:rsid w:val="00BE2E43"/>
    <w:rsid w:val="00BE3F8B"/>
    <w:rsid w:val="00BE4E3B"/>
    <w:rsid w:val="00BE57A0"/>
    <w:rsid w:val="00BE738C"/>
    <w:rsid w:val="00BF2443"/>
    <w:rsid w:val="00BF24D0"/>
    <w:rsid w:val="00BF6854"/>
    <w:rsid w:val="00BF6A0D"/>
    <w:rsid w:val="00C005D3"/>
    <w:rsid w:val="00C007C7"/>
    <w:rsid w:val="00C00915"/>
    <w:rsid w:val="00C0157F"/>
    <w:rsid w:val="00C029AE"/>
    <w:rsid w:val="00C02C73"/>
    <w:rsid w:val="00C02CBC"/>
    <w:rsid w:val="00C03650"/>
    <w:rsid w:val="00C04173"/>
    <w:rsid w:val="00C04C1D"/>
    <w:rsid w:val="00C103D7"/>
    <w:rsid w:val="00C10723"/>
    <w:rsid w:val="00C1168C"/>
    <w:rsid w:val="00C11C39"/>
    <w:rsid w:val="00C12B24"/>
    <w:rsid w:val="00C131B8"/>
    <w:rsid w:val="00C16596"/>
    <w:rsid w:val="00C174D4"/>
    <w:rsid w:val="00C20849"/>
    <w:rsid w:val="00C20CBA"/>
    <w:rsid w:val="00C21B49"/>
    <w:rsid w:val="00C23D1E"/>
    <w:rsid w:val="00C25D79"/>
    <w:rsid w:val="00C26E00"/>
    <w:rsid w:val="00C271DA"/>
    <w:rsid w:val="00C348FE"/>
    <w:rsid w:val="00C34AE3"/>
    <w:rsid w:val="00C357E6"/>
    <w:rsid w:val="00C373C9"/>
    <w:rsid w:val="00C40C26"/>
    <w:rsid w:val="00C4177A"/>
    <w:rsid w:val="00C430BE"/>
    <w:rsid w:val="00C43952"/>
    <w:rsid w:val="00C43AAD"/>
    <w:rsid w:val="00C43E5D"/>
    <w:rsid w:val="00C44505"/>
    <w:rsid w:val="00C447F6"/>
    <w:rsid w:val="00C4593E"/>
    <w:rsid w:val="00C50E47"/>
    <w:rsid w:val="00C514A9"/>
    <w:rsid w:val="00C537B2"/>
    <w:rsid w:val="00C57F3C"/>
    <w:rsid w:val="00C61B61"/>
    <w:rsid w:val="00C632B4"/>
    <w:rsid w:val="00C65E9B"/>
    <w:rsid w:val="00C661FB"/>
    <w:rsid w:val="00C66881"/>
    <w:rsid w:val="00C66C92"/>
    <w:rsid w:val="00C71247"/>
    <w:rsid w:val="00C76BB0"/>
    <w:rsid w:val="00C77B1C"/>
    <w:rsid w:val="00C81968"/>
    <w:rsid w:val="00C82CE4"/>
    <w:rsid w:val="00C8349D"/>
    <w:rsid w:val="00C85D98"/>
    <w:rsid w:val="00C870E7"/>
    <w:rsid w:val="00C91117"/>
    <w:rsid w:val="00C9301B"/>
    <w:rsid w:val="00C9425C"/>
    <w:rsid w:val="00C95DD8"/>
    <w:rsid w:val="00C97F1F"/>
    <w:rsid w:val="00CA2D74"/>
    <w:rsid w:val="00CA5646"/>
    <w:rsid w:val="00CA7824"/>
    <w:rsid w:val="00CB17F0"/>
    <w:rsid w:val="00CB255C"/>
    <w:rsid w:val="00CB307B"/>
    <w:rsid w:val="00CB4644"/>
    <w:rsid w:val="00CB4957"/>
    <w:rsid w:val="00CB49BD"/>
    <w:rsid w:val="00CB5525"/>
    <w:rsid w:val="00CB5CBF"/>
    <w:rsid w:val="00CB5D3A"/>
    <w:rsid w:val="00CB5E52"/>
    <w:rsid w:val="00CC05A2"/>
    <w:rsid w:val="00CC0E0D"/>
    <w:rsid w:val="00CC1F1B"/>
    <w:rsid w:val="00CC4D03"/>
    <w:rsid w:val="00CC6CDE"/>
    <w:rsid w:val="00CC6E2F"/>
    <w:rsid w:val="00CD1935"/>
    <w:rsid w:val="00CD411C"/>
    <w:rsid w:val="00CD6F7E"/>
    <w:rsid w:val="00CE10ED"/>
    <w:rsid w:val="00CE28DE"/>
    <w:rsid w:val="00CE2E39"/>
    <w:rsid w:val="00CE32B9"/>
    <w:rsid w:val="00CE453D"/>
    <w:rsid w:val="00CF0EA4"/>
    <w:rsid w:val="00CF0F08"/>
    <w:rsid w:val="00CF106D"/>
    <w:rsid w:val="00CF75A1"/>
    <w:rsid w:val="00D00478"/>
    <w:rsid w:val="00D00B02"/>
    <w:rsid w:val="00D00EC8"/>
    <w:rsid w:val="00D03539"/>
    <w:rsid w:val="00D04561"/>
    <w:rsid w:val="00D06A37"/>
    <w:rsid w:val="00D06DEE"/>
    <w:rsid w:val="00D116F5"/>
    <w:rsid w:val="00D13978"/>
    <w:rsid w:val="00D142CE"/>
    <w:rsid w:val="00D15ED9"/>
    <w:rsid w:val="00D16CE8"/>
    <w:rsid w:val="00D1723F"/>
    <w:rsid w:val="00D17F3D"/>
    <w:rsid w:val="00D205AF"/>
    <w:rsid w:val="00D20D56"/>
    <w:rsid w:val="00D21B2C"/>
    <w:rsid w:val="00D24AB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4A81"/>
    <w:rsid w:val="00D57E41"/>
    <w:rsid w:val="00D617F0"/>
    <w:rsid w:val="00D61FEB"/>
    <w:rsid w:val="00D62FC3"/>
    <w:rsid w:val="00D64B0E"/>
    <w:rsid w:val="00D64F79"/>
    <w:rsid w:val="00D67159"/>
    <w:rsid w:val="00D672E4"/>
    <w:rsid w:val="00D67631"/>
    <w:rsid w:val="00D7053F"/>
    <w:rsid w:val="00D72733"/>
    <w:rsid w:val="00D73900"/>
    <w:rsid w:val="00D759C2"/>
    <w:rsid w:val="00D768C5"/>
    <w:rsid w:val="00D77809"/>
    <w:rsid w:val="00D84674"/>
    <w:rsid w:val="00D85732"/>
    <w:rsid w:val="00D85D2E"/>
    <w:rsid w:val="00D86C91"/>
    <w:rsid w:val="00D918BA"/>
    <w:rsid w:val="00D91E7D"/>
    <w:rsid w:val="00D920F9"/>
    <w:rsid w:val="00D932DB"/>
    <w:rsid w:val="00D935F9"/>
    <w:rsid w:val="00D9476C"/>
    <w:rsid w:val="00D94AD0"/>
    <w:rsid w:val="00D953B8"/>
    <w:rsid w:val="00D979A4"/>
    <w:rsid w:val="00DA10F6"/>
    <w:rsid w:val="00DA1E0D"/>
    <w:rsid w:val="00DA24F9"/>
    <w:rsid w:val="00DA434B"/>
    <w:rsid w:val="00DB4B91"/>
    <w:rsid w:val="00DB59B0"/>
    <w:rsid w:val="00DB6797"/>
    <w:rsid w:val="00DB7A4D"/>
    <w:rsid w:val="00DC0DEB"/>
    <w:rsid w:val="00DC1279"/>
    <w:rsid w:val="00DC1551"/>
    <w:rsid w:val="00DC5C72"/>
    <w:rsid w:val="00DC738C"/>
    <w:rsid w:val="00DD1855"/>
    <w:rsid w:val="00DD2DEF"/>
    <w:rsid w:val="00DD407D"/>
    <w:rsid w:val="00DD4CA6"/>
    <w:rsid w:val="00DD5F3C"/>
    <w:rsid w:val="00DD6063"/>
    <w:rsid w:val="00DE7F2A"/>
    <w:rsid w:val="00DF1182"/>
    <w:rsid w:val="00DF3D83"/>
    <w:rsid w:val="00DF3E41"/>
    <w:rsid w:val="00DF551F"/>
    <w:rsid w:val="00E00404"/>
    <w:rsid w:val="00E047C8"/>
    <w:rsid w:val="00E05005"/>
    <w:rsid w:val="00E063CC"/>
    <w:rsid w:val="00E063DF"/>
    <w:rsid w:val="00E06F26"/>
    <w:rsid w:val="00E07FD4"/>
    <w:rsid w:val="00E16EDB"/>
    <w:rsid w:val="00E17412"/>
    <w:rsid w:val="00E177A4"/>
    <w:rsid w:val="00E20F51"/>
    <w:rsid w:val="00E22A8F"/>
    <w:rsid w:val="00E23916"/>
    <w:rsid w:val="00E25226"/>
    <w:rsid w:val="00E25835"/>
    <w:rsid w:val="00E3277C"/>
    <w:rsid w:val="00E32F76"/>
    <w:rsid w:val="00E3335B"/>
    <w:rsid w:val="00E347F4"/>
    <w:rsid w:val="00E35661"/>
    <w:rsid w:val="00E35966"/>
    <w:rsid w:val="00E42B3B"/>
    <w:rsid w:val="00E43C35"/>
    <w:rsid w:val="00E443A2"/>
    <w:rsid w:val="00E443AA"/>
    <w:rsid w:val="00E47215"/>
    <w:rsid w:val="00E47752"/>
    <w:rsid w:val="00E50DF1"/>
    <w:rsid w:val="00E54A50"/>
    <w:rsid w:val="00E54C91"/>
    <w:rsid w:val="00E558BF"/>
    <w:rsid w:val="00E56696"/>
    <w:rsid w:val="00E56B8E"/>
    <w:rsid w:val="00E576D1"/>
    <w:rsid w:val="00E57DAA"/>
    <w:rsid w:val="00E62500"/>
    <w:rsid w:val="00E631CA"/>
    <w:rsid w:val="00E650DF"/>
    <w:rsid w:val="00E652A6"/>
    <w:rsid w:val="00E66CF2"/>
    <w:rsid w:val="00E67C29"/>
    <w:rsid w:val="00E72349"/>
    <w:rsid w:val="00E72973"/>
    <w:rsid w:val="00E72B6A"/>
    <w:rsid w:val="00E73BC5"/>
    <w:rsid w:val="00E74425"/>
    <w:rsid w:val="00E74974"/>
    <w:rsid w:val="00E758DB"/>
    <w:rsid w:val="00E75C71"/>
    <w:rsid w:val="00E75E58"/>
    <w:rsid w:val="00E769C9"/>
    <w:rsid w:val="00E76F0A"/>
    <w:rsid w:val="00E770F4"/>
    <w:rsid w:val="00E82117"/>
    <w:rsid w:val="00E82EC9"/>
    <w:rsid w:val="00E83C01"/>
    <w:rsid w:val="00E874BD"/>
    <w:rsid w:val="00E87555"/>
    <w:rsid w:val="00E87659"/>
    <w:rsid w:val="00E90994"/>
    <w:rsid w:val="00E90EF0"/>
    <w:rsid w:val="00E94A2E"/>
    <w:rsid w:val="00E960C9"/>
    <w:rsid w:val="00E969E7"/>
    <w:rsid w:val="00EA000E"/>
    <w:rsid w:val="00EA3064"/>
    <w:rsid w:val="00EA3966"/>
    <w:rsid w:val="00EA4647"/>
    <w:rsid w:val="00EA55FD"/>
    <w:rsid w:val="00EA7574"/>
    <w:rsid w:val="00EB08FC"/>
    <w:rsid w:val="00EB2728"/>
    <w:rsid w:val="00EB2E49"/>
    <w:rsid w:val="00EC07A5"/>
    <w:rsid w:val="00EC412C"/>
    <w:rsid w:val="00EC4ABB"/>
    <w:rsid w:val="00EC69E2"/>
    <w:rsid w:val="00EC7F4C"/>
    <w:rsid w:val="00ED129C"/>
    <w:rsid w:val="00ED1432"/>
    <w:rsid w:val="00ED3CE7"/>
    <w:rsid w:val="00ED54A4"/>
    <w:rsid w:val="00ED6ADF"/>
    <w:rsid w:val="00ED7658"/>
    <w:rsid w:val="00EE0C9E"/>
    <w:rsid w:val="00EE2223"/>
    <w:rsid w:val="00EE386C"/>
    <w:rsid w:val="00EE4B1B"/>
    <w:rsid w:val="00EE6B69"/>
    <w:rsid w:val="00EE7F8F"/>
    <w:rsid w:val="00EF3BC8"/>
    <w:rsid w:val="00EF3F02"/>
    <w:rsid w:val="00EF64A5"/>
    <w:rsid w:val="00EF71D4"/>
    <w:rsid w:val="00F00169"/>
    <w:rsid w:val="00F0041B"/>
    <w:rsid w:val="00F006CF"/>
    <w:rsid w:val="00F0167D"/>
    <w:rsid w:val="00F02A7D"/>
    <w:rsid w:val="00F02EF5"/>
    <w:rsid w:val="00F04537"/>
    <w:rsid w:val="00F04DBC"/>
    <w:rsid w:val="00F04DCA"/>
    <w:rsid w:val="00F054ED"/>
    <w:rsid w:val="00F05714"/>
    <w:rsid w:val="00F05AFE"/>
    <w:rsid w:val="00F11290"/>
    <w:rsid w:val="00F13FB9"/>
    <w:rsid w:val="00F1577C"/>
    <w:rsid w:val="00F162B1"/>
    <w:rsid w:val="00F205FC"/>
    <w:rsid w:val="00F22A71"/>
    <w:rsid w:val="00F23CB1"/>
    <w:rsid w:val="00F247A3"/>
    <w:rsid w:val="00F27C65"/>
    <w:rsid w:val="00F30CF5"/>
    <w:rsid w:val="00F3284A"/>
    <w:rsid w:val="00F34E5D"/>
    <w:rsid w:val="00F35929"/>
    <w:rsid w:val="00F40872"/>
    <w:rsid w:val="00F421F1"/>
    <w:rsid w:val="00F46A36"/>
    <w:rsid w:val="00F5292E"/>
    <w:rsid w:val="00F53821"/>
    <w:rsid w:val="00F539E5"/>
    <w:rsid w:val="00F540B3"/>
    <w:rsid w:val="00F543A3"/>
    <w:rsid w:val="00F54EFD"/>
    <w:rsid w:val="00F560B8"/>
    <w:rsid w:val="00F56139"/>
    <w:rsid w:val="00F57DC2"/>
    <w:rsid w:val="00F603BD"/>
    <w:rsid w:val="00F61AB7"/>
    <w:rsid w:val="00F61E24"/>
    <w:rsid w:val="00F6228A"/>
    <w:rsid w:val="00F66818"/>
    <w:rsid w:val="00F70DBF"/>
    <w:rsid w:val="00F73014"/>
    <w:rsid w:val="00F75C34"/>
    <w:rsid w:val="00F80EE8"/>
    <w:rsid w:val="00F80FB0"/>
    <w:rsid w:val="00F82BF2"/>
    <w:rsid w:val="00F83BEE"/>
    <w:rsid w:val="00F853CC"/>
    <w:rsid w:val="00F92243"/>
    <w:rsid w:val="00F9360F"/>
    <w:rsid w:val="00F96213"/>
    <w:rsid w:val="00FA1337"/>
    <w:rsid w:val="00FA38AC"/>
    <w:rsid w:val="00FA69C1"/>
    <w:rsid w:val="00FA74B8"/>
    <w:rsid w:val="00FB3541"/>
    <w:rsid w:val="00FB35CE"/>
    <w:rsid w:val="00FB381D"/>
    <w:rsid w:val="00FB67CA"/>
    <w:rsid w:val="00FC094B"/>
    <w:rsid w:val="00FC39A9"/>
    <w:rsid w:val="00FC3AE5"/>
    <w:rsid w:val="00FC72D3"/>
    <w:rsid w:val="00FD02A1"/>
    <w:rsid w:val="00FD1B7E"/>
    <w:rsid w:val="00FD2DBC"/>
    <w:rsid w:val="00FD3697"/>
    <w:rsid w:val="00FD3CC7"/>
    <w:rsid w:val="00FD601B"/>
    <w:rsid w:val="00FD7BE1"/>
    <w:rsid w:val="00FD7C62"/>
    <w:rsid w:val="00FE3CA8"/>
    <w:rsid w:val="00FE65FE"/>
    <w:rsid w:val="00FF2E61"/>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A7BB"/>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6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30420"/>
    <w:pPr>
      <w:keepNext/>
      <w:keepLines/>
      <w:spacing w:before="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outlineLvl w:val="1"/>
    </w:pPr>
    <w:rPr>
      <w:rFonts w:ascii="Sylfaen" w:eastAsiaTheme="majorEastAsia" w:hAnsi="Sylfaen" w:cstheme="majorBidi"/>
      <w:b/>
      <w:color w:val="000000" w:themeColor="text1"/>
      <w:szCs w:val="26"/>
    </w:rPr>
  </w:style>
  <w:style w:type="paragraph" w:styleId="Heading4">
    <w:name w:val="heading 4"/>
    <w:basedOn w:val="Normal"/>
    <w:next w:val="Normal"/>
    <w:link w:val="Heading4Char"/>
    <w:uiPriority w:val="9"/>
    <w:semiHidden/>
    <w:unhideWhenUsed/>
    <w:qFormat/>
    <w:rsid w:val="004532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 w:type="paragraph" w:styleId="NormalWeb">
    <w:name w:val="Normal (Web)"/>
    <w:basedOn w:val="Normal"/>
    <w:uiPriority w:val="99"/>
    <w:unhideWhenUsed/>
    <w:rsid w:val="0087416A"/>
    <w:pPr>
      <w:spacing w:before="100" w:beforeAutospacing="1" w:after="100" w:afterAutospacing="1"/>
    </w:pPr>
  </w:style>
  <w:style w:type="table" w:styleId="TableGrid">
    <w:name w:val="Table Grid"/>
    <w:basedOn w:val="TableNormal"/>
    <w:uiPriority w:val="39"/>
    <w:rsid w:val="00874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0B78"/>
    <w:rPr>
      <w:sz w:val="16"/>
      <w:szCs w:val="16"/>
    </w:rPr>
  </w:style>
  <w:style w:type="paragraph" w:styleId="CommentText">
    <w:name w:val="annotation text"/>
    <w:basedOn w:val="Normal"/>
    <w:link w:val="CommentTextChar"/>
    <w:uiPriority w:val="99"/>
    <w:semiHidden/>
    <w:unhideWhenUsed/>
    <w:rsid w:val="00370B78"/>
    <w:rPr>
      <w:sz w:val="20"/>
      <w:szCs w:val="20"/>
    </w:rPr>
  </w:style>
  <w:style w:type="character" w:customStyle="1" w:styleId="CommentTextChar">
    <w:name w:val="Comment Text Char"/>
    <w:basedOn w:val="DefaultParagraphFont"/>
    <w:link w:val="CommentText"/>
    <w:uiPriority w:val="99"/>
    <w:semiHidden/>
    <w:rsid w:val="00370B78"/>
    <w:rPr>
      <w:sz w:val="20"/>
      <w:szCs w:val="20"/>
    </w:rPr>
  </w:style>
  <w:style w:type="paragraph" w:styleId="CommentSubject">
    <w:name w:val="annotation subject"/>
    <w:basedOn w:val="CommentText"/>
    <w:next w:val="CommentText"/>
    <w:link w:val="CommentSubjectChar"/>
    <w:uiPriority w:val="99"/>
    <w:semiHidden/>
    <w:unhideWhenUsed/>
    <w:rsid w:val="00370B78"/>
    <w:rPr>
      <w:b/>
      <w:bCs/>
    </w:rPr>
  </w:style>
  <w:style w:type="character" w:customStyle="1" w:styleId="CommentSubjectChar">
    <w:name w:val="Comment Subject Char"/>
    <w:basedOn w:val="CommentTextChar"/>
    <w:link w:val="CommentSubject"/>
    <w:uiPriority w:val="99"/>
    <w:semiHidden/>
    <w:rsid w:val="00370B78"/>
    <w:rPr>
      <w:b/>
      <w:bCs/>
      <w:sz w:val="20"/>
      <w:szCs w:val="20"/>
    </w:rPr>
  </w:style>
  <w:style w:type="character" w:customStyle="1" w:styleId="Heading4Char">
    <w:name w:val="Heading 4 Char"/>
    <w:basedOn w:val="DefaultParagraphFont"/>
    <w:link w:val="Heading4"/>
    <w:uiPriority w:val="9"/>
    <w:semiHidden/>
    <w:rsid w:val="0045322F"/>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D94AD0"/>
    <w:rPr>
      <w:color w:val="605E5C"/>
      <w:shd w:val="clear" w:color="auto" w:fill="E1DFDD"/>
    </w:rPr>
  </w:style>
  <w:style w:type="character" w:customStyle="1" w:styleId="apple-converted-space">
    <w:name w:val="apple-converted-space"/>
    <w:basedOn w:val="DefaultParagraphFont"/>
    <w:rsid w:val="0069634D"/>
  </w:style>
  <w:style w:type="paragraph" w:styleId="Revision">
    <w:name w:val="Revision"/>
    <w:hidden/>
    <w:uiPriority w:val="99"/>
    <w:semiHidden/>
    <w:rsid w:val="00BA39A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37">
      <w:bodyDiv w:val="1"/>
      <w:marLeft w:val="0"/>
      <w:marRight w:val="0"/>
      <w:marTop w:val="0"/>
      <w:marBottom w:val="0"/>
      <w:divBdr>
        <w:top w:val="none" w:sz="0" w:space="0" w:color="auto"/>
        <w:left w:val="none" w:sz="0" w:space="0" w:color="auto"/>
        <w:bottom w:val="none" w:sz="0" w:space="0" w:color="auto"/>
        <w:right w:val="none" w:sz="0" w:space="0" w:color="auto"/>
      </w:divBdr>
    </w:div>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71393890">
      <w:bodyDiv w:val="1"/>
      <w:marLeft w:val="0"/>
      <w:marRight w:val="0"/>
      <w:marTop w:val="0"/>
      <w:marBottom w:val="0"/>
      <w:divBdr>
        <w:top w:val="none" w:sz="0" w:space="0" w:color="auto"/>
        <w:left w:val="none" w:sz="0" w:space="0" w:color="auto"/>
        <w:bottom w:val="none" w:sz="0" w:space="0" w:color="auto"/>
        <w:right w:val="none" w:sz="0" w:space="0" w:color="auto"/>
      </w:divBdr>
      <w:divsChild>
        <w:div w:id="1798063653">
          <w:marLeft w:val="0"/>
          <w:marRight w:val="0"/>
          <w:marTop w:val="0"/>
          <w:marBottom w:val="0"/>
          <w:divBdr>
            <w:top w:val="none" w:sz="0" w:space="0" w:color="auto"/>
            <w:left w:val="none" w:sz="0" w:space="0" w:color="auto"/>
            <w:bottom w:val="none" w:sz="0" w:space="0" w:color="auto"/>
            <w:right w:val="none" w:sz="0" w:space="0" w:color="auto"/>
          </w:divBdr>
          <w:divsChild>
            <w:div w:id="1144815601">
              <w:marLeft w:val="0"/>
              <w:marRight w:val="0"/>
              <w:marTop w:val="0"/>
              <w:marBottom w:val="0"/>
              <w:divBdr>
                <w:top w:val="none" w:sz="0" w:space="0" w:color="auto"/>
                <w:left w:val="none" w:sz="0" w:space="0" w:color="auto"/>
                <w:bottom w:val="none" w:sz="0" w:space="0" w:color="auto"/>
                <w:right w:val="none" w:sz="0" w:space="0" w:color="auto"/>
              </w:divBdr>
              <w:divsChild>
                <w:div w:id="14872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456">
      <w:bodyDiv w:val="1"/>
      <w:marLeft w:val="0"/>
      <w:marRight w:val="0"/>
      <w:marTop w:val="0"/>
      <w:marBottom w:val="0"/>
      <w:divBdr>
        <w:top w:val="none" w:sz="0" w:space="0" w:color="auto"/>
        <w:left w:val="none" w:sz="0" w:space="0" w:color="auto"/>
        <w:bottom w:val="none" w:sz="0" w:space="0" w:color="auto"/>
        <w:right w:val="none" w:sz="0" w:space="0" w:color="auto"/>
      </w:divBdr>
    </w:div>
    <w:div w:id="128089844">
      <w:bodyDiv w:val="1"/>
      <w:marLeft w:val="0"/>
      <w:marRight w:val="0"/>
      <w:marTop w:val="0"/>
      <w:marBottom w:val="0"/>
      <w:divBdr>
        <w:top w:val="none" w:sz="0" w:space="0" w:color="auto"/>
        <w:left w:val="none" w:sz="0" w:space="0" w:color="auto"/>
        <w:bottom w:val="none" w:sz="0" w:space="0" w:color="auto"/>
        <w:right w:val="none" w:sz="0" w:space="0" w:color="auto"/>
      </w:divBdr>
    </w:div>
    <w:div w:id="133758982">
      <w:bodyDiv w:val="1"/>
      <w:marLeft w:val="0"/>
      <w:marRight w:val="0"/>
      <w:marTop w:val="0"/>
      <w:marBottom w:val="0"/>
      <w:divBdr>
        <w:top w:val="none" w:sz="0" w:space="0" w:color="auto"/>
        <w:left w:val="none" w:sz="0" w:space="0" w:color="auto"/>
        <w:bottom w:val="none" w:sz="0" w:space="0" w:color="auto"/>
        <w:right w:val="none" w:sz="0" w:space="0" w:color="auto"/>
      </w:divBdr>
    </w:div>
    <w:div w:id="135338236">
      <w:bodyDiv w:val="1"/>
      <w:marLeft w:val="0"/>
      <w:marRight w:val="0"/>
      <w:marTop w:val="0"/>
      <w:marBottom w:val="0"/>
      <w:divBdr>
        <w:top w:val="none" w:sz="0" w:space="0" w:color="auto"/>
        <w:left w:val="none" w:sz="0" w:space="0" w:color="auto"/>
        <w:bottom w:val="none" w:sz="0" w:space="0" w:color="auto"/>
        <w:right w:val="none" w:sz="0" w:space="0" w:color="auto"/>
      </w:divBdr>
    </w:div>
    <w:div w:id="139924934">
      <w:bodyDiv w:val="1"/>
      <w:marLeft w:val="0"/>
      <w:marRight w:val="0"/>
      <w:marTop w:val="0"/>
      <w:marBottom w:val="0"/>
      <w:divBdr>
        <w:top w:val="none" w:sz="0" w:space="0" w:color="auto"/>
        <w:left w:val="none" w:sz="0" w:space="0" w:color="auto"/>
        <w:bottom w:val="none" w:sz="0" w:space="0" w:color="auto"/>
        <w:right w:val="none" w:sz="0" w:space="0" w:color="auto"/>
      </w:divBdr>
      <w:divsChild>
        <w:div w:id="965892556">
          <w:marLeft w:val="0"/>
          <w:marRight w:val="0"/>
          <w:marTop w:val="0"/>
          <w:marBottom w:val="0"/>
          <w:divBdr>
            <w:top w:val="none" w:sz="0" w:space="0" w:color="auto"/>
            <w:left w:val="none" w:sz="0" w:space="0" w:color="auto"/>
            <w:bottom w:val="none" w:sz="0" w:space="0" w:color="auto"/>
            <w:right w:val="none" w:sz="0" w:space="0" w:color="auto"/>
          </w:divBdr>
          <w:divsChild>
            <w:div w:id="1203982123">
              <w:marLeft w:val="0"/>
              <w:marRight w:val="0"/>
              <w:marTop w:val="0"/>
              <w:marBottom w:val="0"/>
              <w:divBdr>
                <w:top w:val="none" w:sz="0" w:space="0" w:color="auto"/>
                <w:left w:val="none" w:sz="0" w:space="0" w:color="auto"/>
                <w:bottom w:val="none" w:sz="0" w:space="0" w:color="auto"/>
                <w:right w:val="none" w:sz="0" w:space="0" w:color="auto"/>
              </w:divBdr>
              <w:divsChild>
                <w:div w:id="7429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163">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79780589">
      <w:bodyDiv w:val="1"/>
      <w:marLeft w:val="0"/>
      <w:marRight w:val="0"/>
      <w:marTop w:val="0"/>
      <w:marBottom w:val="0"/>
      <w:divBdr>
        <w:top w:val="none" w:sz="0" w:space="0" w:color="auto"/>
        <w:left w:val="none" w:sz="0" w:space="0" w:color="auto"/>
        <w:bottom w:val="none" w:sz="0" w:space="0" w:color="auto"/>
        <w:right w:val="none" w:sz="0" w:space="0" w:color="auto"/>
      </w:divBdr>
    </w:div>
    <w:div w:id="205483624">
      <w:bodyDiv w:val="1"/>
      <w:marLeft w:val="0"/>
      <w:marRight w:val="0"/>
      <w:marTop w:val="0"/>
      <w:marBottom w:val="0"/>
      <w:divBdr>
        <w:top w:val="none" w:sz="0" w:space="0" w:color="auto"/>
        <w:left w:val="none" w:sz="0" w:space="0" w:color="auto"/>
        <w:bottom w:val="none" w:sz="0" w:space="0" w:color="auto"/>
        <w:right w:val="none" w:sz="0" w:space="0" w:color="auto"/>
      </w:divBdr>
      <w:divsChild>
        <w:div w:id="329676969">
          <w:marLeft w:val="0"/>
          <w:marRight w:val="0"/>
          <w:marTop w:val="0"/>
          <w:marBottom w:val="0"/>
          <w:divBdr>
            <w:top w:val="none" w:sz="0" w:space="0" w:color="auto"/>
            <w:left w:val="none" w:sz="0" w:space="0" w:color="auto"/>
            <w:bottom w:val="none" w:sz="0" w:space="0" w:color="auto"/>
            <w:right w:val="none" w:sz="0" w:space="0" w:color="auto"/>
          </w:divBdr>
          <w:divsChild>
            <w:div w:id="523175944">
              <w:marLeft w:val="0"/>
              <w:marRight w:val="0"/>
              <w:marTop w:val="0"/>
              <w:marBottom w:val="0"/>
              <w:divBdr>
                <w:top w:val="none" w:sz="0" w:space="0" w:color="auto"/>
                <w:left w:val="none" w:sz="0" w:space="0" w:color="auto"/>
                <w:bottom w:val="none" w:sz="0" w:space="0" w:color="auto"/>
                <w:right w:val="none" w:sz="0" w:space="0" w:color="auto"/>
              </w:divBdr>
              <w:divsChild>
                <w:div w:id="1599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3447">
      <w:bodyDiv w:val="1"/>
      <w:marLeft w:val="0"/>
      <w:marRight w:val="0"/>
      <w:marTop w:val="0"/>
      <w:marBottom w:val="0"/>
      <w:divBdr>
        <w:top w:val="none" w:sz="0" w:space="0" w:color="auto"/>
        <w:left w:val="none" w:sz="0" w:space="0" w:color="auto"/>
        <w:bottom w:val="none" w:sz="0" w:space="0" w:color="auto"/>
        <w:right w:val="none" w:sz="0" w:space="0" w:color="auto"/>
      </w:divBdr>
    </w:div>
    <w:div w:id="257174197">
      <w:bodyDiv w:val="1"/>
      <w:marLeft w:val="0"/>
      <w:marRight w:val="0"/>
      <w:marTop w:val="0"/>
      <w:marBottom w:val="0"/>
      <w:divBdr>
        <w:top w:val="none" w:sz="0" w:space="0" w:color="auto"/>
        <w:left w:val="none" w:sz="0" w:space="0" w:color="auto"/>
        <w:bottom w:val="none" w:sz="0" w:space="0" w:color="auto"/>
        <w:right w:val="none" w:sz="0" w:space="0" w:color="auto"/>
      </w:divBdr>
    </w:div>
    <w:div w:id="285818667">
      <w:bodyDiv w:val="1"/>
      <w:marLeft w:val="0"/>
      <w:marRight w:val="0"/>
      <w:marTop w:val="0"/>
      <w:marBottom w:val="0"/>
      <w:divBdr>
        <w:top w:val="none" w:sz="0" w:space="0" w:color="auto"/>
        <w:left w:val="none" w:sz="0" w:space="0" w:color="auto"/>
        <w:bottom w:val="none" w:sz="0" w:space="0" w:color="auto"/>
        <w:right w:val="none" w:sz="0" w:space="0" w:color="auto"/>
      </w:divBdr>
    </w:div>
    <w:div w:id="314333766">
      <w:bodyDiv w:val="1"/>
      <w:marLeft w:val="0"/>
      <w:marRight w:val="0"/>
      <w:marTop w:val="0"/>
      <w:marBottom w:val="0"/>
      <w:divBdr>
        <w:top w:val="none" w:sz="0" w:space="0" w:color="auto"/>
        <w:left w:val="none" w:sz="0" w:space="0" w:color="auto"/>
        <w:bottom w:val="none" w:sz="0" w:space="0" w:color="auto"/>
        <w:right w:val="none" w:sz="0" w:space="0" w:color="auto"/>
      </w:divBdr>
    </w:div>
    <w:div w:id="325015769">
      <w:bodyDiv w:val="1"/>
      <w:marLeft w:val="0"/>
      <w:marRight w:val="0"/>
      <w:marTop w:val="0"/>
      <w:marBottom w:val="0"/>
      <w:divBdr>
        <w:top w:val="none" w:sz="0" w:space="0" w:color="auto"/>
        <w:left w:val="none" w:sz="0" w:space="0" w:color="auto"/>
        <w:bottom w:val="none" w:sz="0" w:space="0" w:color="auto"/>
        <w:right w:val="none" w:sz="0" w:space="0" w:color="auto"/>
      </w:divBdr>
    </w:div>
    <w:div w:id="337394399">
      <w:bodyDiv w:val="1"/>
      <w:marLeft w:val="0"/>
      <w:marRight w:val="0"/>
      <w:marTop w:val="0"/>
      <w:marBottom w:val="0"/>
      <w:divBdr>
        <w:top w:val="none" w:sz="0" w:space="0" w:color="auto"/>
        <w:left w:val="none" w:sz="0" w:space="0" w:color="auto"/>
        <w:bottom w:val="none" w:sz="0" w:space="0" w:color="auto"/>
        <w:right w:val="none" w:sz="0" w:space="0" w:color="auto"/>
      </w:divBdr>
    </w:div>
    <w:div w:id="343551686">
      <w:bodyDiv w:val="1"/>
      <w:marLeft w:val="0"/>
      <w:marRight w:val="0"/>
      <w:marTop w:val="0"/>
      <w:marBottom w:val="0"/>
      <w:divBdr>
        <w:top w:val="none" w:sz="0" w:space="0" w:color="auto"/>
        <w:left w:val="none" w:sz="0" w:space="0" w:color="auto"/>
        <w:bottom w:val="none" w:sz="0" w:space="0" w:color="auto"/>
        <w:right w:val="none" w:sz="0" w:space="0" w:color="auto"/>
      </w:divBdr>
    </w:div>
    <w:div w:id="350957604">
      <w:bodyDiv w:val="1"/>
      <w:marLeft w:val="0"/>
      <w:marRight w:val="0"/>
      <w:marTop w:val="0"/>
      <w:marBottom w:val="0"/>
      <w:divBdr>
        <w:top w:val="none" w:sz="0" w:space="0" w:color="auto"/>
        <w:left w:val="none" w:sz="0" w:space="0" w:color="auto"/>
        <w:bottom w:val="none" w:sz="0" w:space="0" w:color="auto"/>
        <w:right w:val="none" w:sz="0" w:space="0" w:color="auto"/>
      </w:divBdr>
    </w:div>
    <w:div w:id="352804348">
      <w:bodyDiv w:val="1"/>
      <w:marLeft w:val="0"/>
      <w:marRight w:val="0"/>
      <w:marTop w:val="0"/>
      <w:marBottom w:val="0"/>
      <w:divBdr>
        <w:top w:val="none" w:sz="0" w:space="0" w:color="auto"/>
        <w:left w:val="none" w:sz="0" w:space="0" w:color="auto"/>
        <w:bottom w:val="none" w:sz="0" w:space="0" w:color="auto"/>
        <w:right w:val="none" w:sz="0" w:space="0" w:color="auto"/>
      </w:divBdr>
    </w:div>
    <w:div w:id="364064193">
      <w:bodyDiv w:val="1"/>
      <w:marLeft w:val="0"/>
      <w:marRight w:val="0"/>
      <w:marTop w:val="0"/>
      <w:marBottom w:val="0"/>
      <w:divBdr>
        <w:top w:val="none" w:sz="0" w:space="0" w:color="auto"/>
        <w:left w:val="none" w:sz="0" w:space="0" w:color="auto"/>
        <w:bottom w:val="none" w:sz="0" w:space="0" w:color="auto"/>
        <w:right w:val="none" w:sz="0" w:space="0" w:color="auto"/>
      </w:divBdr>
    </w:div>
    <w:div w:id="374278794">
      <w:bodyDiv w:val="1"/>
      <w:marLeft w:val="0"/>
      <w:marRight w:val="0"/>
      <w:marTop w:val="0"/>
      <w:marBottom w:val="0"/>
      <w:divBdr>
        <w:top w:val="none" w:sz="0" w:space="0" w:color="auto"/>
        <w:left w:val="none" w:sz="0" w:space="0" w:color="auto"/>
        <w:bottom w:val="none" w:sz="0" w:space="0" w:color="auto"/>
        <w:right w:val="none" w:sz="0" w:space="0" w:color="auto"/>
      </w:divBdr>
    </w:div>
    <w:div w:id="396322751">
      <w:bodyDiv w:val="1"/>
      <w:marLeft w:val="0"/>
      <w:marRight w:val="0"/>
      <w:marTop w:val="0"/>
      <w:marBottom w:val="0"/>
      <w:divBdr>
        <w:top w:val="none" w:sz="0" w:space="0" w:color="auto"/>
        <w:left w:val="none" w:sz="0" w:space="0" w:color="auto"/>
        <w:bottom w:val="none" w:sz="0" w:space="0" w:color="auto"/>
        <w:right w:val="none" w:sz="0" w:space="0" w:color="auto"/>
      </w:divBdr>
    </w:div>
    <w:div w:id="402023537">
      <w:bodyDiv w:val="1"/>
      <w:marLeft w:val="0"/>
      <w:marRight w:val="0"/>
      <w:marTop w:val="0"/>
      <w:marBottom w:val="0"/>
      <w:divBdr>
        <w:top w:val="none" w:sz="0" w:space="0" w:color="auto"/>
        <w:left w:val="none" w:sz="0" w:space="0" w:color="auto"/>
        <w:bottom w:val="none" w:sz="0" w:space="0" w:color="auto"/>
        <w:right w:val="none" w:sz="0" w:space="0" w:color="auto"/>
      </w:divBdr>
    </w:div>
    <w:div w:id="439569672">
      <w:bodyDiv w:val="1"/>
      <w:marLeft w:val="0"/>
      <w:marRight w:val="0"/>
      <w:marTop w:val="0"/>
      <w:marBottom w:val="0"/>
      <w:divBdr>
        <w:top w:val="none" w:sz="0" w:space="0" w:color="auto"/>
        <w:left w:val="none" w:sz="0" w:space="0" w:color="auto"/>
        <w:bottom w:val="none" w:sz="0" w:space="0" w:color="auto"/>
        <w:right w:val="none" w:sz="0" w:space="0" w:color="auto"/>
      </w:divBdr>
    </w:div>
    <w:div w:id="478113310">
      <w:bodyDiv w:val="1"/>
      <w:marLeft w:val="0"/>
      <w:marRight w:val="0"/>
      <w:marTop w:val="0"/>
      <w:marBottom w:val="0"/>
      <w:divBdr>
        <w:top w:val="none" w:sz="0" w:space="0" w:color="auto"/>
        <w:left w:val="none" w:sz="0" w:space="0" w:color="auto"/>
        <w:bottom w:val="none" w:sz="0" w:space="0" w:color="auto"/>
        <w:right w:val="none" w:sz="0" w:space="0" w:color="auto"/>
      </w:divBdr>
    </w:div>
    <w:div w:id="484400465">
      <w:bodyDiv w:val="1"/>
      <w:marLeft w:val="0"/>
      <w:marRight w:val="0"/>
      <w:marTop w:val="0"/>
      <w:marBottom w:val="0"/>
      <w:divBdr>
        <w:top w:val="none" w:sz="0" w:space="0" w:color="auto"/>
        <w:left w:val="none" w:sz="0" w:space="0" w:color="auto"/>
        <w:bottom w:val="none" w:sz="0" w:space="0" w:color="auto"/>
        <w:right w:val="none" w:sz="0" w:space="0" w:color="auto"/>
      </w:divBdr>
      <w:divsChild>
        <w:div w:id="969819495">
          <w:marLeft w:val="0"/>
          <w:marRight w:val="0"/>
          <w:marTop w:val="0"/>
          <w:marBottom w:val="0"/>
          <w:divBdr>
            <w:top w:val="none" w:sz="0" w:space="0" w:color="auto"/>
            <w:left w:val="none" w:sz="0" w:space="0" w:color="auto"/>
            <w:bottom w:val="none" w:sz="0" w:space="0" w:color="auto"/>
            <w:right w:val="none" w:sz="0" w:space="0" w:color="auto"/>
          </w:divBdr>
          <w:divsChild>
            <w:div w:id="173539766">
              <w:marLeft w:val="0"/>
              <w:marRight w:val="0"/>
              <w:marTop w:val="0"/>
              <w:marBottom w:val="0"/>
              <w:divBdr>
                <w:top w:val="none" w:sz="0" w:space="0" w:color="auto"/>
                <w:left w:val="none" w:sz="0" w:space="0" w:color="auto"/>
                <w:bottom w:val="none" w:sz="0" w:space="0" w:color="auto"/>
                <w:right w:val="none" w:sz="0" w:space="0" w:color="auto"/>
              </w:divBdr>
              <w:divsChild>
                <w:div w:id="21237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7530">
      <w:bodyDiv w:val="1"/>
      <w:marLeft w:val="0"/>
      <w:marRight w:val="0"/>
      <w:marTop w:val="0"/>
      <w:marBottom w:val="0"/>
      <w:divBdr>
        <w:top w:val="none" w:sz="0" w:space="0" w:color="auto"/>
        <w:left w:val="none" w:sz="0" w:space="0" w:color="auto"/>
        <w:bottom w:val="none" w:sz="0" w:space="0" w:color="auto"/>
        <w:right w:val="none" w:sz="0" w:space="0" w:color="auto"/>
      </w:divBdr>
    </w:div>
    <w:div w:id="513543848">
      <w:bodyDiv w:val="1"/>
      <w:marLeft w:val="0"/>
      <w:marRight w:val="0"/>
      <w:marTop w:val="0"/>
      <w:marBottom w:val="0"/>
      <w:divBdr>
        <w:top w:val="none" w:sz="0" w:space="0" w:color="auto"/>
        <w:left w:val="none" w:sz="0" w:space="0" w:color="auto"/>
        <w:bottom w:val="none" w:sz="0" w:space="0" w:color="auto"/>
        <w:right w:val="none" w:sz="0" w:space="0" w:color="auto"/>
      </w:divBdr>
    </w:div>
    <w:div w:id="517810737">
      <w:bodyDiv w:val="1"/>
      <w:marLeft w:val="0"/>
      <w:marRight w:val="0"/>
      <w:marTop w:val="0"/>
      <w:marBottom w:val="0"/>
      <w:divBdr>
        <w:top w:val="none" w:sz="0" w:space="0" w:color="auto"/>
        <w:left w:val="none" w:sz="0" w:space="0" w:color="auto"/>
        <w:bottom w:val="none" w:sz="0" w:space="0" w:color="auto"/>
        <w:right w:val="none" w:sz="0" w:space="0" w:color="auto"/>
      </w:divBdr>
    </w:div>
    <w:div w:id="561599961">
      <w:bodyDiv w:val="1"/>
      <w:marLeft w:val="0"/>
      <w:marRight w:val="0"/>
      <w:marTop w:val="0"/>
      <w:marBottom w:val="0"/>
      <w:divBdr>
        <w:top w:val="none" w:sz="0" w:space="0" w:color="auto"/>
        <w:left w:val="none" w:sz="0" w:space="0" w:color="auto"/>
        <w:bottom w:val="none" w:sz="0" w:space="0" w:color="auto"/>
        <w:right w:val="none" w:sz="0" w:space="0" w:color="auto"/>
      </w:divBdr>
    </w:div>
    <w:div w:id="565340273">
      <w:bodyDiv w:val="1"/>
      <w:marLeft w:val="0"/>
      <w:marRight w:val="0"/>
      <w:marTop w:val="0"/>
      <w:marBottom w:val="0"/>
      <w:divBdr>
        <w:top w:val="none" w:sz="0" w:space="0" w:color="auto"/>
        <w:left w:val="none" w:sz="0" w:space="0" w:color="auto"/>
        <w:bottom w:val="none" w:sz="0" w:space="0" w:color="auto"/>
        <w:right w:val="none" w:sz="0" w:space="0" w:color="auto"/>
      </w:divBdr>
    </w:div>
    <w:div w:id="570892368">
      <w:bodyDiv w:val="1"/>
      <w:marLeft w:val="0"/>
      <w:marRight w:val="0"/>
      <w:marTop w:val="0"/>
      <w:marBottom w:val="0"/>
      <w:divBdr>
        <w:top w:val="none" w:sz="0" w:space="0" w:color="auto"/>
        <w:left w:val="none" w:sz="0" w:space="0" w:color="auto"/>
        <w:bottom w:val="none" w:sz="0" w:space="0" w:color="auto"/>
        <w:right w:val="none" w:sz="0" w:space="0" w:color="auto"/>
      </w:divBdr>
    </w:div>
    <w:div w:id="585770635">
      <w:bodyDiv w:val="1"/>
      <w:marLeft w:val="0"/>
      <w:marRight w:val="0"/>
      <w:marTop w:val="0"/>
      <w:marBottom w:val="0"/>
      <w:divBdr>
        <w:top w:val="none" w:sz="0" w:space="0" w:color="auto"/>
        <w:left w:val="none" w:sz="0" w:space="0" w:color="auto"/>
        <w:bottom w:val="none" w:sz="0" w:space="0" w:color="auto"/>
        <w:right w:val="none" w:sz="0" w:space="0" w:color="auto"/>
      </w:divBdr>
    </w:div>
    <w:div w:id="619410509">
      <w:bodyDiv w:val="1"/>
      <w:marLeft w:val="0"/>
      <w:marRight w:val="0"/>
      <w:marTop w:val="0"/>
      <w:marBottom w:val="0"/>
      <w:divBdr>
        <w:top w:val="none" w:sz="0" w:space="0" w:color="auto"/>
        <w:left w:val="none" w:sz="0" w:space="0" w:color="auto"/>
        <w:bottom w:val="none" w:sz="0" w:space="0" w:color="auto"/>
        <w:right w:val="none" w:sz="0" w:space="0" w:color="auto"/>
      </w:divBdr>
    </w:div>
    <w:div w:id="629673089">
      <w:bodyDiv w:val="1"/>
      <w:marLeft w:val="0"/>
      <w:marRight w:val="0"/>
      <w:marTop w:val="0"/>
      <w:marBottom w:val="0"/>
      <w:divBdr>
        <w:top w:val="none" w:sz="0" w:space="0" w:color="auto"/>
        <w:left w:val="none" w:sz="0" w:space="0" w:color="auto"/>
        <w:bottom w:val="none" w:sz="0" w:space="0" w:color="auto"/>
        <w:right w:val="none" w:sz="0" w:space="0" w:color="auto"/>
      </w:divBdr>
    </w:div>
    <w:div w:id="637028166">
      <w:bodyDiv w:val="1"/>
      <w:marLeft w:val="0"/>
      <w:marRight w:val="0"/>
      <w:marTop w:val="0"/>
      <w:marBottom w:val="0"/>
      <w:divBdr>
        <w:top w:val="none" w:sz="0" w:space="0" w:color="auto"/>
        <w:left w:val="none" w:sz="0" w:space="0" w:color="auto"/>
        <w:bottom w:val="none" w:sz="0" w:space="0" w:color="auto"/>
        <w:right w:val="none" w:sz="0" w:space="0" w:color="auto"/>
      </w:divBdr>
      <w:divsChild>
        <w:div w:id="1736706850">
          <w:marLeft w:val="0"/>
          <w:marRight w:val="0"/>
          <w:marTop w:val="0"/>
          <w:marBottom w:val="0"/>
          <w:divBdr>
            <w:top w:val="none" w:sz="0" w:space="0" w:color="auto"/>
            <w:left w:val="none" w:sz="0" w:space="0" w:color="auto"/>
            <w:bottom w:val="none" w:sz="0" w:space="0" w:color="auto"/>
            <w:right w:val="none" w:sz="0" w:space="0" w:color="auto"/>
          </w:divBdr>
          <w:divsChild>
            <w:div w:id="862790905">
              <w:marLeft w:val="0"/>
              <w:marRight w:val="0"/>
              <w:marTop w:val="0"/>
              <w:marBottom w:val="0"/>
              <w:divBdr>
                <w:top w:val="none" w:sz="0" w:space="0" w:color="auto"/>
                <w:left w:val="none" w:sz="0" w:space="0" w:color="auto"/>
                <w:bottom w:val="none" w:sz="0" w:space="0" w:color="auto"/>
                <w:right w:val="none" w:sz="0" w:space="0" w:color="auto"/>
              </w:divBdr>
              <w:divsChild>
                <w:div w:id="17775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299">
      <w:bodyDiv w:val="1"/>
      <w:marLeft w:val="0"/>
      <w:marRight w:val="0"/>
      <w:marTop w:val="0"/>
      <w:marBottom w:val="0"/>
      <w:divBdr>
        <w:top w:val="none" w:sz="0" w:space="0" w:color="auto"/>
        <w:left w:val="none" w:sz="0" w:space="0" w:color="auto"/>
        <w:bottom w:val="none" w:sz="0" w:space="0" w:color="auto"/>
        <w:right w:val="none" w:sz="0" w:space="0" w:color="auto"/>
      </w:divBdr>
    </w:div>
    <w:div w:id="705374096">
      <w:bodyDiv w:val="1"/>
      <w:marLeft w:val="0"/>
      <w:marRight w:val="0"/>
      <w:marTop w:val="0"/>
      <w:marBottom w:val="0"/>
      <w:divBdr>
        <w:top w:val="none" w:sz="0" w:space="0" w:color="auto"/>
        <w:left w:val="none" w:sz="0" w:space="0" w:color="auto"/>
        <w:bottom w:val="none" w:sz="0" w:space="0" w:color="auto"/>
        <w:right w:val="none" w:sz="0" w:space="0" w:color="auto"/>
      </w:divBdr>
    </w:div>
    <w:div w:id="756633270">
      <w:bodyDiv w:val="1"/>
      <w:marLeft w:val="0"/>
      <w:marRight w:val="0"/>
      <w:marTop w:val="0"/>
      <w:marBottom w:val="0"/>
      <w:divBdr>
        <w:top w:val="none" w:sz="0" w:space="0" w:color="auto"/>
        <w:left w:val="none" w:sz="0" w:space="0" w:color="auto"/>
        <w:bottom w:val="none" w:sz="0" w:space="0" w:color="auto"/>
        <w:right w:val="none" w:sz="0" w:space="0" w:color="auto"/>
      </w:divBdr>
    </w:div>
    <w:div w:id="765002771">
      <w:bodyDiv w:val="1"/>
      <w:marLeft w:val="0"/>
      <w:marRight w:val="0"/>
      <w:marTop w:val="0"/>
      <w:marBottom w:val="0"/>
      <w:divBdr>
        <w:top w:val="none" w:sz="0" w:space="0" w:color="auto"/>
        <w:left w:val="none" w:sz="0" w:space="0" w:color="auto"/>
        <w:bottom w:val="none" w:sz="0" w:space="0" w:color="auto"/>
        <w:right w:val="none" w:sz="0" w:space="0" w:color="auto"/>
      </w:divBdr>
    </w:div>
    <w:div w:id="773092837">
      <w:bodyDiv w:val="1"/>
      <w:marLeft w:val="0"/>
      <w:marRight w:val="0"/>
      <w:marTop w:val="0"/>
      <w:marBottom w:val="0"/>
      <w:divBdr>
        <w:top w:val="none" w:sz="0" w:space="0" w:color="auto"/>
        <w:left w:val="none" w:sz="0" w:space="0" w:color="auto"/>
        <w:bottom w:val="none" w:sz="0" w:space="0" w:color="auto"/>
        <w:right w:val="none" w:sz="0" w:space="0" w:color="auto"/>
      </w:divBdr>
    </w:div>
    <w:div w:id="816922137">
      <w:bodyDiv w:val="1"/>
      <w:marLeft w:val="0"/>
      <w:marRight w:val="0"/>
      <w:marTop w:val="0"/>
      <w:marBottom w:val="0"/>
      <w:divBdr>
        <w:top w:val="none" w:sz="0" w:space="0" w:color="auto"/>
        <w:left w:val="none" w:sz="0" w:space="0" w:color="auto"/>
        <w:bottom w:val="none" w:sz="0" w:space="0" w:color="auto"/>
        <w:right w:val="none" w:sz="0" w:space="0" w:color="auto"/>
      </w:divBdr>
    </w:div>
    <w:div w:id="840658046">
      <w:bodyDiv w:val="1"/>
      <w:marLeft w:val="0"/>
      <w:marRight w:val="0"/>
      <w:marTop w:val="0"/>
      <w:marBottom w:val="0"/>
      <w:divBdr>
        <w:top w:val="none" w:sz="0" w:space="0" w:color="auto"/>
        <w:left w:val="none" w:sz="0" w:space="0" w:color="auto"/>
        <w:bottom w:val="none" w:sz="0" w:space="0" w:color="auto"/>
        <w:right w:val="none" w:sz="0" w:space="0" w:color="auto"/>
      </w:divBdr>
    </w:div>
    <w:div w:id="847255152">
      <w:bodyDiv w:val="1"/>
      <w:marLeft w:val="0"/>
      <w:marRight w:val="0"/>
      <w:marTop w:val="0"/>
      <w:marBottom w:val="0"/>
      <w:divBdr>
        <w:top w:val="none" w:sz="0" w:space="0" w:color="auto"/>
        <w:left w:val="none" w:sz="0" w:space="0" w:color="auto"/>
        <w:bottom w:val="none" w:sz="0" w:space="0" w:color="auto"/>
        <w:right w:val="none" w:sz="0" w:space="0" w:color="auto"/>
      </w:divBdr>
    </w:div>
    <w:div w:id="861940453">
      <w:bodyDiv w:val="1"/>
      <w:marLeft w:val="0"/>
      <w:marRight w:val="0"/>
      <w:marTop w:val="0"/>
      <w:marBottom w:val="0"/>
      <w:divBdr>
        <w:top w:val="none" w:sz="0" w:space="0" w:color="auto"/>
        <w:left w:val="none" w:sz="0" w:space="0" w:color="auto"/>
        <w:bottom w:val="none" w:sz="0" w:space="0" w:color="auto"/>
        <w:right w:val="none" w:sz="0" w:space="0" w:color="auto"/>
      </w:divBdr>
    </w:div>
    <w:div w:id="884876832">
      <w:bodyDiv w:val="1"/>
      <w:marLeft w:val="0"/>
      <w:marRight w:val="0"/>
      <w:marTop w:val="0"/>
      <w:marBottom w:val="0"/>
      <w:divBdr>
        <w:top w:val="none" w:sz="0" w:space="0" w:color="auto"/>
        <w:left w:val="none" w:sz="0" w:space="0" w:color="auto"/>
        <w:bottom w:val="none" w:sz="0" w:space="0" w:color="auto"/>
        <w:right w:val="none" w:sz="0" w:space="0" w:color="auto"/>
      </w:divBdr>
    </w:div>
    <w:div w:id="886457436">
      <w:bodyDiv w:val="1"/>
      <w:marLeft w:val="0"/>
      <w:marRight w:val="0"/>
      <w:marTop w:val="0"/>
      <w:marBottom w:val="0"/>
      <w:divBdr>
        <w:top w:val="none" w:sz="0" w:space="0" w:color="auto"/>
        <w:left w:val="none" w:sz="0" w:space="0" w:color="auto"/>
        <w:bottom w:val="none" w:sz="0" w:space="0" w:color="auto"/>
        <w:right w:val="none" w:sz="0" w:space="0" w:color="auto"/>
      </w:divBdr>
    </w:div>
    <w:div w:id="892741348">
      <w:bodyDiv w:val="1"/>
      <w:marLeft w:val="0"/>
      <w:marRight w:val="0"/>
      <w:marTop w:val="0"/>
      <w:marBottom w:val="0"/>
      <w:divBdr>
        <w:top w:val="none" w:sz="0" w:space="0" w:color="auto"/>
        <w:left w:val="none" w:sz="0" w:space="0" w:color="auto"/>
        <w:bottom w:val="none" w:sz="0" w:space="0" w:color="auto"/>
        <w:right w:val="none" w:sz="0" w:space="0" w:color="auto"/>
      </w:divBdr>
    </w:div>
    <w:div w:id="950358945">
      <w:bodyDiv w:val="1"/>
      <w:marLeft w:val="0"/>
      <w:marRight w:val="0"/>
      <w:marTop w:val="0"/>
      <w:marBottom w:val="0"/>
      <w:divBdr>
        <w:top w:val="none" w:sz="0" w:space="0" w:color="auto"/>
        <w:left w:val="none" w:sz="0" w:space="0" w:color="auto"/>
        <w:bottom w:val="none" w:sz="0" w:space="0" w:color="auto"/>
        <w:right w:val="none" w:sz="0" w:space="0" w:color="auto"/>
      </w:divBdr>
    </w:div>
    <w:div w:id="958490760">
      <w:bodyDiv w:val="1"/>
      <w:marLeft w:val="0"/>
      <w:marRight w:val="0"/>
      <w:marTop w:val="0"/>
      <w:marBottom w:val="0"/>
      <w:divBdr>
        <w:top w:val="none" w:sz="0" w:space="0" w:color="auto"/>
        <w:left w:val="none" w:sz="0" w:space="0" w:color="auto"/>
        <w:bottom w:val="none" w:sz="0" w:space="0" w:color="auto"/>
        <w:right w:val="none" w:sz="0" w:space="0" w:color="auto"/>
      </w:divBdr>
    </w:div>
    <w:div w:id="973948096">
      <w:bodyDiv w:val="1"/>
      <w:marLeft w:val="0"/>
      <w:marRight w:val="0"/>
      <w:marTop w:val="0"/>
      <w:marBottom w:val="0"/>
      <w:divBdr>
        <w:top w:val="none" w:sz="0" w:space="0" w:color="auto"/>
        <w:left w:val="none" w:sz="0" w:space="0" w:color="auto"/>
        <w:bottom w:val="none" w:sz="0" w:space="0" w:color="auto"/>
        <w:right w:val="none" w:sz="0" w:space="0" w:color="auto"/>
      </w:divBdr>
    </w:div>
    <w:div w:id="1020283441">
      <w:bodyDiv w:val="1"/>
      <w:marLeft w:val="0"/>
      <w:marRight w:val="0"/>
      <w:marTop w:val="0"/>
      <w:marBottom w:val="0"/>
      <w:divBdr>
        <w:top w:val="none" w:sz="0" w:space="0" w:color="auto"/>
        <w:left w:val="none" w:sz="0" w:space="0" w:color="auto"/>
        <w:bottom w:val="none" w:sz="0" w:space="0" w:color="auto"/>
        <w:right w:val="none" w:sz="0" w:space="0" w:color="auto"/>
      </w:divBdr>
    </w:div>
    <w:div w:id="1050616188">
      <w:bodyDiv w:val="1"/>
      <w:marLeft w:val="0"/>
      <w:marRight w:val="0"/>
      <w:marTop w:val="0"/>
      <w:marBottom w:val="0"/>
      <w:divBdr>
        <w:top w:val="none" w:sz="0" w:space="0" w:color="auto"/>
        <w:left w:val="none" w:sz="0" w:space="0" w:color="auto"/>
        <w:bottom w:val="none" w:sz="0" w:space="0" w:color="auto"/>
        <w:right w:val="none" w:sz="0" w:space="0" w:color="auto"/>
      </w:divBdr>
      <w:divsChild>
        <w:div w:id="1050690913">
          <w:marLeft w:val="0"/>
          <w:marRight w:val="0"/>
          <w:marTop w:val="0"/>
          <w:marBottom w:val="0"/>
          <w:divBdr>
            <w:top w:val="none" w:sz="0" w:space="0" w:color="auto"/>
            <w:left w:val="none" w:sz="0" w:space="0" w:color="auto"/>
            <w:bottom w:val="none" w:sz="0" w:space="0" w:color="auto"/>
            <w:right w:val="none" w:sz="0" w:space="0" w:color="auto"/>
          </w:divBdr>
          <w:divsChild>
            <w:div w:id="1831022353">
              <w:marLeft w:val="0"/>
              <w:marRight w:val="0"/>
              <w:marTop w:val="0"/>
              <w:marBottom w:val="0"/>
              <w:divBdr>
                <w:top w:val="none" w:sz="0" w:space="0" w:color="auto"/>
                <w:left w:val="none" w:sz="0" w:space="0" w:color="auto"/>
                <w:bottom w:val="none" w:sz="0" w:space="0" w:color="auto"/>
                <w:right w:val="none" w:sz="0" w:space="0" w:color="auto"/>
              </w:divBdr>
              <w:divsChild>
                <w:div w:id="1814177704">
                  <w:marLeft w:val="0"/>
                  <w:marRight w:val="0"/>
                  <w:marTop w:val="0"/>
                  <w:marBottom w:val="0"/>
                  <w:divBdr>
                    <w:top w:val="none" w:sz="0" w:space="0" w:color="auto"/>
                    <w:left w:val="none" w:sz="0" w:space="0" w:color="auto"/>
                    <w:bottom w:val="none" w:sz="0" w:space="0" w:color="auto"/>
                    <w:right w:val="none" w:sz="0" w:space="0" w:color="auto"/>
                  </w:divBdr>
                  <w:divsChild>
                    <w:div w:id="11811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1820">
      <w:bodyDiv w:val="1"/>
      <w:marLeft w:val="0"/>
      <w:marRight w:val="0"/>
      <w:marTop w:val="0"/>
      <w:marBottom w:val="0"/>
      <w:divBdr>
        <w:top w:val="none" w:sz="0" w:space="0" w:color="auto"/>
        <w:left w:val="none" w:sz="0" w:space="0" w:color="auto"/>
        <w:bottom w:val="none" w:sz="0" w:space="0" w:color="auto"/>
        <w:right w:val="none" w:sz="0" w:space="0" w:color="auto"/>
      </w:divBdr>
      <w:divsChild>
        <w:div w:id="1261336536">
          <w:marLeft w:val="0"/>
          <w:marRight w:val="0"/>
          <w:marTop w:val="0"/>
          <w:marBottom w:val="0"/>
          <w:divBdr>
            <w:top w:val="none" w:sz="0" w:space="0" w:color="auto"/>
            <w:left w:val="none" w:sz="0" w:space="0" w:color="auto"/>
            <w:bottom w:val="none" w:sz="0" w:space="0" w:color="auto"/>
            <w:right w:val="none" w:sz="0" w:space="0" w:color="auto"/>
          </w:divBdr>
          <w:divsChild>
            <w:div w:id="270164270">
              <w:marLeft w:val="0"/>
              <w:marRight w:val="0"/>
              <w:marTop w:val="0"/>
              <w:marBottom w:val="0"/>
              <w:divBdr>
                <w:top w:val="none" w:sz="0" w:space="0" w:color="auto"/>
                <w:left w:val="none" w:sz="0" w:space="0" w:color="auto"/>
                <w:bottom w:val="none" w:sz="0" w:space="0" w:color="auto"/>
                <w:right w:val="none" w:sz="0" w:space="0" w:color="auto"/>
              </w:divBdr>
              <w:divsChild>
                <w:div w:id="17138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1197">
      <w:bodyDiv w:val="1"/>
      <w:marLeft w:val="0"/>
      <w:marRight w:val="0"/>
      <w:marTop w:val="0"/>
      <w:marBottom w:val="0"/>
      <w:divBdr>
        <w:top w:val="none" w:sz="0" w:space="0" w:color="auto"/>
        <w:left w:val="none" w:sz="0" w:space="0" w:color="auto"/>
        <w:bottom w:val="none" w:sz="0" w:space="0" w:color="auto"/>
        <w:right w:val="none" w:sz="0" w:space="0" w:color="auto"/>
      </w:divBdr>
      <w:divsChild>
        <w:div w:id="779297476">
          <w:marLeft w:val="0"/>
          <w:marRight w:val="0"/>
          <w:marTop w:val="0"/>
          <w:marBottom w:val="0"/>
          <w:divBdr>
            <w:top w:val="none" w:sz="0" w:space="0" w:color="auto"/>
            <w:left w:val="none" w:sz="0" w:space="0" w:color="auto"/>
            <w:bottom w:val="none" w:sz="0" w:space="0" w:color="auto"/>
            <w:right w:val="none" w:sz="0" w:space="0" w:color="auto"/>
          </w:divBdr>
          <w:divsChild>
            <w:div w:id="1414887847">
              <w:marLeft w:val="0"/>
              <w:marRight w:val="0"/>
              <w:marTop w:val="0"/>
              <w:marBottom w:val="0"/>
              <w:divBdr>
                <w:top w:val="none" w:sz="0" w:space="0" w:color="auto"/>
                <w:left w:val="none" w:sz="0" w:space="0" w:color="auto"/>
                <w:bottom w:val="none" w:sz="0" w:space="0" w:color="auto"/>
                <w:right w:val="none" w:sz="0" w:space="0" w:color="auto"/>
              </w:divBdr>
              <w:divsChild>
                <w:div w:id="19432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2619">
      <w:bodyDiv w:val="1"/>
      <w:marLeft w:val="0"/>
      <w:marRight w:val="0"/>
      <w:marTop w:val="0"/>
      <w:marBottom w:val="0"/>
      <w:divBdr>
        <w:top w:val="none" w:sz="0" w:space="0" w:color="auto"/>
        <w:left w:val="none" w:sz="0" w:space="0" w:color="auto"/>
        <w:bottom w:val="none" w:sz="0" w:space="0" w:color="auto"/>
        <w:right w:val="none" w:sz="0" w:space="0" w:color="auto"/>
      </w:divBdr>
    </w:div>
    <w:div w:id="1100025350">
      <w:bodyDiv w:val="1"/>
      <w:marLeft w:val="0"/>
      <w:marRight w:val="0"/>
      <w:marTop w:val="0"/>
      <w:marBottom w:val="0"/>
      <w:divBdr>
        <w:top w:val="none" w:sz="0" w:space="0" w:color="auto"/>
        <w:left w:val="none" w:sz="0" w:space="0" w:color="auto"/>
        <w:bottom w:val="none" w:sz="0" w:space="0" w:color="auto"/>
        <w:right w:val="none" w:sz="0" w:space="0" w:color="auto"/>
      </w:divBdr>
    </w:div>
    <w:div w:id="1103377444">
      <w:bodyDiv w:val="1"/>
      <w:marLeft w:val="0"/>
      <w:marRight w:val="0"/>
      <w:marTop w:val="0"/>
      <w:marBottom w:val="0"/>
      <w:divBdr>
        <w:top w:val="none" w:sz="0" w:space="0" w:color="auto"/>
        <w:left w:val="none" w:sz="0" w:space="0" w:color="auto"/>
        <w:bottom w:val="none" w:sz="0" w:space="0" w:color="auto"/>
        <w:right w:val="none" w:sz="0" w:space="0" w:color="auto"/>
      </w:divBdr>
      <w:divsChild>
        <w:div w:id="685592416">
          <w:marLeft w:val="0"/>
          <w:marRight w:val="0"/>
          <w:marTop w:val="0"/>
          <w:marBottom w:val="0"/>
          <w:divBdr>
            <w:top w:val="none" w:sz="0" w:space="0" w:color="auto"/>
            <w:left w:val="none" w:sz="0" w:space="0" w:color="auto"/>
            <w:bottom w:val="none" w:sz="0" w:space="0" w:color="auto"/>
            <w:right w:val="none" w:sz="0" w:space="0" w:color="auto"/>
          </w:divBdr>
          <w:divsChild>
            <w:div w:id="1778214053">
              <w:marLeft w:val="0"/>
              <w:marRight w:val="0"/>
              <w:marTop w:val="0"/>
              <w:marBottom w:val="0"/>
              <w:divBdr>
                <w:top w:val="none" w:sz="0" w:space="0" w:color="auto"/>
                <w:left w:val="none" w:sz="0" w:space="0" w:color="auto"/>
                <w:bottom w:val="none" w:sz="0" w:space="0" w:color="auto"/>
                <w:right w:val="none" w:sz="0" w:space="0" w:color="auto"/>
              </w:divBdr>
              <w:divsChild>
                <w:div w:id="6241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00795">
      <w:bodyDiv w:val="1"/>
      <w:marLeft w:val="0"/>
      <w:marRight w:val="0"/>
      <w:marTop w:val="0"/>
      <w:marBottom w:val="0"/>
      <w:divBdr>
        <w:top w:val="none" w:sz="0" w:space="0" w:color="auto"/>
        <w:left w:val="none" w:sz="0" w:space="0" w:color="auto"/>
        <w:bottom w:val="none" w:sz="0" w:space="0" w:color="auto"/>
        <w:right w:val="none" w:sz="0" w:space="0" w:color="auto"/>
      </w:divBdr>
    </w:div>
    <w:div w:id="1152677085">
      <w:bodyDiv w:val="1"/>
      <w:marLeft w:val="0"/>
      <w:marRight w:val="0"/>
      <w:marTop w:val="0"/>
      <w:marBottom w:val="0"/>
      <w:divBdr>
        <w:top w:val="none" w:sz="0" w:space="0" w:color="auto"/>
        <w:left w:val="none" w:sz="0" w:space="0" w:color="auto"/>
        <w:bottom w:val="none" w:sz="0" w:space="0" w:color="auto"/>
        <w:right w:val="none" w:sz="0" w:space="0" w:color="auto"/>
      </w:divBdr>
    </w:div>
    <w:div w:id="1158574137">
      <w:bodyDiv w:val="1"/>
      <w:marLeft w:val="0"/>
      <w:marRight w:val="0"/>
      <w:marTop w:val="0"/>
      <w:marBottom w:val="0"/>
      <w:divBdr>
        <w:top w:val="none" w:sz="0" w:space="0" w:color="auto"/>
        <w:left w:val="none" w:sz="0" w:space="0" w:color="auto"/>
        <w:bottom w:val="none" w:sz="0" w:space="0" w:color="auto"/>
        <w:right w:val="none" w:sz="0" w:space="0" w:color="auto"/>
      </w:divBdr>
    </w:div>
    <w:div w:id="1246568451">
      <w:bodyDiv w:val="1"/>
      <w:marLeft w:val="0"/>
      <w:marRight w:val="0"/>
      <w:marTop w:val="0"/>
      <w:marBottom w:val="0"/>
      <w:divBdr>
        <w:top w:val="none" w:sz="0" w:space="0" w:color="auto"/>
        <w:left w:val="none" w:sz="0" w:space="0" w:color="auto"/>
        <w:bottom w:val="none" w:sz="0" w:space="0" w:color="auto"/>
        <w:right w:val="none" w:sz="0" w:space="0" w:color="auto"/>
      </w:divBdr>
    </w:div>
    <w:div w:id="1252818320">
      <w:bodyDiv w:val="1"/>
      <w:marLeft w:val="0"/>
      <w:marRight w:val="0"/>
      <w:marTop w:val="0"/>
      <w:marBottom w:val="0"/>
      <w:divBdr>
        <w:top w:val="none" w:sz="0" w:space="0" w:color="auto"/>
        <w:left w:val="none" w:sz="0" w:space="0" w:color="auto"/>
        <w:bottom w:val="none" w:sz="0" w:space="0" w:color="auto"/>
        <w:right w:val="none" w:sz="0" w:space="0" w:color="auto"/>
      </w:divBdr>
    </w:div>
    <w:div w:id="1283072841">
      <w:bodyDiv w:val="1"/>
      <w:marLeft w:val="0"/>
      <w:marRight w:val="0"/>
      <w:marTop w:val="0"/>
      <w:marBottom w:val="0"/>
      <w:divBdr>
        <w:top w:val="none" w:sz="0" w:space="0" w:color="auto"/>
        <w:left w:val="none" w:sz="0" w:space="0" w:color="auto"/>
        <w:bottom w:val="none" w:sz="0" w:space="0" w:color="auto"/>
        <w:right w:val="none" w:sz="0" w:space="0" w:color="auto"/>
      </w:divBdr>
    </w:div>
    <w:div w:id="1286889113">
      <w:bodyDiv w:val="1"/>
      <w:marLeft w:val="0"/>
      <w:marRight w:val="0"/>
      <w:marTop w:val="0"/>
      <w:marBottom w:val="0"/>
      <w:divBdr>
        <w:top w:val="none" w:sz="0" w:space="0" w:color="auto"/>
        <w:left w:val="none" w:sz="0" w:space="0" w:color="auto"/>
        <w:bottom w:val="none" w:sz="0" w:space="0" w:color="auto"/>
        <w:right w:val="none" w:sz="0" w:space="0" w:color="auto"/>
      </w:divBdr>
    </w:div>
    <w:div w:id="1310674675">
      <w:bodyDiv w:val="1"/>
      <w:marLeft w:val="0"/>
      <w:marRight w:val="0"/>
      <w:marTop w:val="0"/>
      <w:marBottom w:val="0"/>
      <w:divBdr>
        <w:top w:val="none" w:sz="0" w:space="0" w:color="auto"/>
        <w:left w:val="none" w:sz="0" w:space="0" w:color="auto"/>
        <w:bottom w:val="none" w:sz="0" w:space="0" w:color="auto"/>
        <w:right w:val="none" w:sz="0" w:space="0" w:color="auto"/>
      </w:divBdr>
    </w:div>
    <w:div w:id="1339384070">
      <w:bodyDiv w:val="1"/>
      <w:marLeft w:val="0"/>
      <w:marRight w:val="0"/>
      <w:marTop w:val="0"/>
      <w:marBottom w:val="0"/>
      <w:divBdr>
        <w:top w:val="none" w:sz="0" w:space="0" w:color="auto"/>
        <w:left w:val="none" w:sz="0" w:space="0" w:color="auto"/>
        <w:bottom w:val="none" w:sz="0" w:space="0" w:color="auto"/>
        <w:right w:val="none" w:sz="0" w:space="0" w:color="auto"/>
      </w:divBdr>
    </w:div>
    <w:div w:id="1342511404">
      <w:bodyDiv w:val="1"/>
      <w:marLeft w:val="0"/>
      <w:marRight w:val="0"/>
      <w:marTop w:val="0"/>
      <w:marBottom w:val="0"/>
      <w:divBdr>
        <w:top w:val="none" w:sz="0" w:space="0" w:color="auto"/>
        <w:left w:val="none" w:sz="0" w:space="0" w:color="auto"/>
        <w:bottom w:val="none" w:sz="0" w:space="0" w:color="auto"/>
        <w:right w:val="none" w:sz="0" w:space="0" w:color="auto"/>
      </w:divBdr>
    </w:div>
    <w:div w:id="1344941060">
      <w:bodyDiv w:val="1"/>
      <w:marLeft w:val="0"/>
      <w:marRight w:val="0"/>
      <w:marTop w:val="0"/>
      <w:marBottom w:val="0"/>
      <w:divBdr>
        <w:top w:val="none" w:sz="0" w:space="0" w:color="auto"/>
        <w:left w:val="none" w:sz="0" w:space="0" w:color="auto"/>
        <w:bottom w:val="none" w:sz="0" w:space="0" w:color="auto"/>
        <w:right w:val="none" w:sz="0" w:space="0" w:color="auto"/>
      </w:divBdr>
      <w:divsChild>
        <w:div w:id="979381690">
          <w:marLeft w:val="0"/>
          <w:marRight w:val="0"/>
          <w:marTop w:val="0"/>
          <w:marBottom w:val="0"/>
          <w:divBdr>
            <w:top w:val="none" w:sz="0" w:space="0" w:color="auto"/>
            <w:left w:val="none" w:sz="0" w:space="0" w:color="auto"/>
            <w:bottom w:val="none" w:sz="0" w:space="0" w:color="auto"/>
            <w:right w:val="none" w:sz="0" w:space="0" w:color="auto"/>
          </w:divBdr>
          <w:divsChild>
            <w:div w:id="1031496779">
              <w:marLeft w:val="0"/>
              <w:marRight w:val="0"/>
              <w:marTop w:val="0"/>
              <w:marBottom w:val="0"/>
              <w:divBdr>
                <w:top w:val="none" w:sz="0" w:space="0" w:color="auto"/>
                <w:left w:val="none" w:sz="0" w:space="0" w:color="auto"/>
                <w:bottom w:val="none" w:sz="0" w:space="0" w:color="auto"/>
                <w:right w:val="none" w:sz="0" w:space="0" w:color="auto"/>
              </w:divBdr>
              <w:divsChild>
                <w:div w:id="812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2670">
      <w:bodyDiv w:val="1"/>
      <w:marLeft w:val="0"/>
      <w:marRight w:val="0"/>
      <w:marTop w:val="0"/>
      <w:marBottom w:val="0"/>
      <w:divBdr>
        <w:top w:val="none" w:sz="0" w:space="0" w:color="auto"/>
        <w:left w:val="none" w:sz="0" w:space="0" w:color="auto"/>
        <w:bottom w:val="none" w:sz="0" w:space="0" w:color="auto"/>
        <w:right w:val="none" w:sz="0" w:space="0" w:color="auto"/>
      </w:divBdr>
    </w:div>
    <w:div w:id="1350444775">
      <w:bodyDiv w:val="1"/>
      <w:marLeft w:val="0"/>
      <w:marRight w:val="0"/>
      <w:marTop w:val="0"/>
      <w:marBottom w:val="0"/>
      <w:divBdr>
        <w:top w:val="none" w:sz="0" w:space="0" w:color="auto"/>
        <w:left w:val="none" w:sz="0" w:space="0" w:color="auto"/>
        <w:bottom w:val="none" w:sz="0" w:space="0" w:color="auto"/>
        <w:right w:val="none" w:sz="0" w:space="0" w:color="auto"/>
      </w:divBdr>
    </w:div>
    <w:div w:id="1353416415">
      <w:bodyDiv w:val="1"/>
      <w:marLeft w:val="0"/>
      <w:marRight w:val="0"/>
      <w:marTop w:val="0"/>
      <w:marBottom w:val="0"/>
      <w:divBdr>
        <w:top w:val="none" w:sz="0" w:space="0" w:color="auto"/>
        <w:left w:val="none" w:sz="0" w:space="0" w:color="auto"/>
        <w:bottom w:val="none" w:sz="0" w:space="0" w:color="auto"/>
        <w:right w:val="none" w:sz="0" w:space="0" w:color="auto"/>
      </w:divBdr>
    </w:div>
    <w:div w:id="1370258935">
      <w:bodyDiv w:val="1"/>
      <w:marLeft w:val="0"/>
      <w:marRight w:val="0"/>
      <w:marTop w:val="0"/>
      <w:marBottom w:val="0"/>
      <w:divBdr>
        <w:top w:val="none" w:sz="0" w:space="0" w:color="auto"/>
        <w:left w:val="none" w:sz="0" w:space="0" w:color="auto"/>
        <w:bottom w:val="none" w:sz="0" w:space="0" w:color="auto"/>
        <w:right w:val="none" w:sz="0" w:space="0" w:color="auto"/>
      </w:divBdr>
    </w:div>
    <w:div w:id="1376854205">
      <w:bodyDiv w:val="1"/>
      <w:marLeft w:val="0"/>
      <w:marRight w:val="0"/>
      <w:marTop w:val="0"/>
      <w:marBottom w:val="0"/>
      <w:divBdr>
        <w:top w:val="none" w:sz="0" w:space="0" w:color="auto"/>
        <w:left w:val="none" w:sz="0" w:space="0" w:color="auto"/>
        <w:bottom w:val="none" w:sz="0" w:space="0" w:color="auto"/>
        <w:right w:val="none" w:sz="0" w:space="0" w:color="auto"/>
      </w:divBdr>
    </w:div>
    <w:div w:id="1382628672">
      <w:bodyDiv w:val="1"/>
      <w:marLeft w:val="0"/>
      <w:marRight w:val="0"/>
      <w:marTop w:val="0"/>
      <w:marBottom w:val="0"/>
      <w:divBdr>
        <w:top w:val="none" w:sz="0" w:space="0" w:color="auto"/>
        <w:left w:val="none" w:sz="0" w:space="0" w:color="auto"/>
        <w:bottom w:val="none" w:sz="0" w:space="0" w:color="auto"/>
        <w:right w:val="none" w:sz="0" w:space="0" w:color="auto"/>
      </w:divBdr>
    </w:div>
    <w:div w:id="1419520527">
      <w:bodyDiv w:val="1"/>
      <w:marLeft w:val="0"/>
      <w:marRight w:val="0"/>
      <w:marTop w:val="0"/>
      <w:marBottom w:val="0"/>
      <w:divBdr>
        <w:top w:val="none" w:sz="0" w:space="0" w:color="auto"/>
        <w:left w:val="none" w:sz="0" w:space="0" w:color="auto"/>
        <w:bottom w:val="none" w:sz="0" w:space="0" w:color="auto"/>
        <w:right w:val="none" w:sz="0" w:space="0" w:color="auto"/>
      </w:divBdr>
    </w:div>
    <w:div w:id="1432429214">
      <w:bodyDiv w:val="1"/>
      <w:marLeft w:val="0"/>
      <w:marRight w:val="0"/>
      <w:marTop w:val="0"/>
      <w:marBottom w:val="0"/>
      <w:divBdr>
        <w:top w:val="none" w:sz="0" w:space="0" w:color="auto"/>
        <w:left w:val="none" w:sz="0" w:space="0" w:color="auto"/>
        <w:bottom w:val="none" w:sz="0" w:space="0" w:color="auto"/>
        <w:right w:val="none" w:sz="0" w:space="0" w:color="auto"/>
      </w:divBdr>
    </w:div>
    <w:div w:id="1433083723">
      <w:bodyDiv w:val="1"/>
      <w:marLeft w:val="0"/>
      <w:marRight w:val="0"/>
      <w:marTop w:val="0"/>
      <w:marBottom w:val="0"/>
      <w:divBdr>
        <w:top w:val="none" w:sz="0" w:space="0" w:color="auto"/>
        <w:left w:val="none" w:sz="0" w:space="0" w:color="auto"/>
        <w:bottom w:val="none" w:sz="0" w:space="0" w:color="auto"/>
        <w:right w:val="none" w:sz="0" w:space="0" w:color="auto"/>
      </w:divBdr>
    </w:div>
    <w:div w:id="1433623461">
      <w:bodyDiv w:val="1"/>
      <w:marLeft w:val="0"/>
      <w:marRight w:val="0"/>
      <w:marTop w:val="0"/>
      <w:marBottom w:val="0"/>
      <w:divBdr>
        <w:top w:val="none" w:sz="0" w:space="0" w:color="auto"/>
        <w:left w:val="none" w:sz="0" w:space="0" w:color="auto"/>
        <w:bottom w:val="none" w:sz="0" w:space="0" w:color="auto"/>
        <w:right w:val="none" w:sz="0" w:space="0" w:color="auto"/>
      </w:divBdr>
    </w:div>
    <w:div w:id="1435393840">
      <w:bodyDiv w:val="1"/>
      <w:marLeft w:val="0"/>
      <w:marRight w:val="0"/>
      <w:marTop w:val="0"/>
      <w:marBottom w:val="0"/>
      <w:divBdr>
        <w:top w:val="none" w:sz="0" w:space="0" w:color="auto"/>
        <w:left w:val="none" w:sz="0" w:space="0" w:color="auto"/>
        <w:bottom w:val="none" w:sz="0" w:space="0" w:color="auto"/>
        <w:right w:val="none" w:sz="0" w:space="0" w:color="auto"/>
      </w:divBdr>
    </w:div>
    <w:div w:id="1484662613">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 w:id="1492331357">
      <w:bodyDiv w:val="1"/>
      <w:marLeft w:val="0"/>
      <w:marRight w:val="0"/>
      <w:marTop w:val="0"/>
      <w:marBottom w:val="0"/>
      <w:divBdr>
        <w:top w:val="none" w:sz="0" w:space="0" w:color="auto"/>
        <w:left w:val="none" w:sz="0" w:space="0" w:color="auto"/>
        <w:bottom w:val="none" w:sz="0" w:space="0" w:color="auto"/>
        <w:right w:val="none" w:sz="0" w:space="0" w:color="auto"/>
      </w:divBdr>
    </w:div>
    <w:div w:id="1509906118">
      <w:bodyDiv w:val="1"/>
      <w:marLeft w:val="0"/>
      <w:marRight w:val="0"/>
      <w:marTop w:val="0"/>
      <w:marBottom w:val="0"/>
      <w:divBdr>
        <w:top w:val="none" w:sz="0" w:space="0" w:color="auto"/>
        <w:left w:val="none" w:sz="0" w:space="0" w:color="auto"/>
        <w:bottom w:val="none" w:sz="0" w:space="0" w:color="auto"/>
        <w:right w:val="none" w:sz="0" w:space="0" w:color="auto"/>
      </w:divBdr>
    </w:div>
    <w:div w:id="1535118078">
      <w:bodyDiv w:val="1"/>
      <w:marLeft w:val="0"/>
      <w:marRight w:val="0"/>
      <w:marTop w:val="0"/>
      <w:marBottom w:val="0"/>
      <w:divBdr>
        <w:top w:val="none" w:sz="0" w:space="0" w:color="auto"/>
        <w:left w:val="none" w:sz="0" w:space="0" w:color="auto"/>
        <w:bottom w:val="none" w:sz="0" w:space="0" w:color="auto"/>
        <w:right w:val="none" w:sz="0" w:space="0" w:color="auto"/>
      </w:divBdr>
    </w:div>
    <w:div w:id="1550610242">
      <w:bodyDiv w:val="1"/>
      <w:marLeft w:val="0"/>
      <w:marRight w:val="0"/>
      <w:marTop w:val="0"/>
      <w:marBottom w:val="0"/>
      <w:divBdr>
        <w:top w:val="none" w:sz="0" w:space="0" w:color="auto"/>
        <w:left w:val="none" w:sz="0" w:space="0" w:color="auto"/>
        <w:bottom w:val="none" w:sz="0" w:space="0" w:color="auto"/>
        <w:right w:val="none" w:sz="0" w:space="0" w:color="auto"/>
      </w:divBdr>
    </w:div>
    <w:div w:id="1554123068">
      <w:bodyDiv w:val="1"/>
      <w:marLeft w:val="0"/>
      <w:marRight w:val="0"/>
      <w:marTop w:val="0"/>
      <w:marBottom w:val="0"/>
      <w:divBdr>
        <w:top w:val="none" w:sz="0" w:space="0" w:color="auto"/>
        <w:left w:val="none" w:sz="0" w:space="0" w:color="auto"/>
        <w:bottom w:val="none" w:sz="0" w:space="0" w:color="auto"/>
        <w:right w:val="none" w:sz="0" w:space="0" w:color="auto"/>
      </w:divBdr>
    </w:div>
    <w:div w:id="1572693502">
      <w:bodyDiv w:val="1"/>
      <w:marLeft w:val="0"/>
      <w:marRight w:val="0"/>
      <w:marTop w:val="0"/>
      <w:marBottom w:val="0"/>
      <w:divBdr>
        <w:top w:val="none" w:sz="0" w:space="0" w:color="auto"/>
        <w:left w:val="none" w:sz="0" w:space="0" w:color="auto"/>
        <w:bottom w:val="none" w:sz="0" w:space="0" w:color="auto"/>
        <w:right w:val="none" w:sz="0" w:space="0" w:color="auto"/>
      </w:divBdr>
    </w:div>
    <w:div w:id="1573929792">
      <w:bodyDiv w:val="1"/>
      <w:marLeft w:val="0"/>
      <w:marRight w:val="0"/>
      <w:marTop w:val="0"/>
      <w:marBottom w:val="0"/>
      <w:divBdr>
        <w:top w:val="none" w:sz="0" w:space="0" w:color="auto"/>
        <w:left w:val="none" w:sz="0" w:space="0" w:color="auto"/>
        <w:bottom w:val="none" w:sz="0" w:space="0" w:color="auto"/>
        <w:right w:val="none" w:sz="0" w:space="0" w:color="auto"/>
      </w:divBdr>
    </w:div>
    <w:div w:id="1586382014">
      <w:bodyDiv w:val="1"/>
      <w:marLeft w:val="0"/>
      <w:marRight w:val="0"/>
      <w:marTop w:val="0"/>
      <w:marBottom w:val="0"/>
      <w:divBdr>
        <w:top w:val="none" w:sz="0" w:space="0" w:color="auto"/>
        <w:left w:val="none" w:sz="0" w:space="0" w:color="auto"/>
        <w:bottom w:val="none" w:sz="0" w:space="0" w:color="auto"/>
        <w:right w:val="none" w:sz="0" w:space="0" w:color="auto"/>
      </w:divBdr>
    </w:div>
    <w:div w:id="1590121256">
      <w:bodyDiv w:val="1"/>
      <w:marLeft w:val="0"/>
      <w:marRight w:val="0"/>
      <w:marTop w:val="0"/>
      <w:marBottom w:val="0"/>
      <w:divBdr>
        <w:top w:val="none" w:sz="0" w:space="0" w:color="auto"/>
        <w:left w:val="none" w:sz="0" w:space="0" w:color="auto"/>
        <w:bottom w:val="none" w:sz="0" w:space="0" w:color="auto"/>
        <w:right w:val="none" w:sz="0" w:space="0" w:color="auto"/>
      </w:divBdr>
    </w:div>
    <w:div w:id="1602569003">
      <w:bodyDiv w:val="1"/>
      <w:marLeft w:val="0"/>
      <w:marRight w:val="0"/>
      <w:marTop w:val="0"/>
      <w:marBottom w:val="0"/>
      <w:divBdr>
        <w:top w:val="none" w:sz="0" w:space="0" w:color="auto"/>
        <w:left w:val="none" w:sz="0" w:space="0" w:color="auto"/>
        <w:bottom w:val="none" w:sz="0" w:space="0" w:color="auto"/>
        <w:right w:val="none" w:sz="0" w:space="0" w:color="auto"/>
      </w:divBdr>
    </w:div>
    <w:div w:id="1615670182">
      <w:bodyDiv w:val="1"/>
      <w:marLeft w:val="0"/>
      <w:marRight w:val="0"/>
      <w:marTop w:val="0"/>
      <w:marBottom w:val="0"/>
      <w:divBdr>
        <w:top w:val="none" w:sz="0" w:space="0" w:color="auto"/>
        <w:left w:val="none" w:sz="0" w:space="0" w:color="auto"/>
        <w:bottom w:val="none" w:sz="0" w:space="0" w:color="auto"/>
        <w:right w:val="none" w:sz="0" w:space="0" w:color="auto"/>
      </w:divBdr>
      <w:divsChild>
        <w:div w:id="566964617">
          <w:marLeft w:val="0"/>
          <w:marRight w:val="0"/>
          <w:marTop w:val="0"/>
          <w:marBottom w:val="0"/>
          <w:divBdr>
            <w:top w:val="none" w:sz="0" w:space="0" w:color="auto"/>
            <w:left w:val="none" w:sz="0" w:space="0" w:color="auto"/>
            <w:bottom w:val="none" w:sz="0" w:space="0" w:color="auto"/>
            <w:right w:val="none" w:sz="0" w:space="0" w:color="auto"/>
          </w:divBdr>
          <w:divsChild>
            <w:div w:id="895815638">
              <w:marLeft w:val="0"/>
              <w:marRight w:val="0"/>
              <w:marTop w:val="0"/>
              <w:marBottom w:val="0"/>
              <w:divBdr>
                <w:top w:val="none" w:sz="0" w:space="0" w:color="auto"/>
                <w:left w:val="none" w:sz="0" w:space="0" w:color="auto"/>
                <w:bottom w:val="none" w:sz="0" w:space="0" w:color="auto"/>
                <w:right w:val="none" w:sz="0" w:space="0" w:color="auto"/>
              </w:divBdr>
              <w:divsChild>
                <w:div w:id="1736590135">
                  <w:marLeft w:val="0"/>
                  <w:marRight w:val="0"/>
                  <w:marTop w:val="0"/>
                  <w:marBottom w:val="0"/>
                  <w:divBdr>
                    <w:top w:val="none" w:sz="0" w:space="0" w:color="auto"/>
                    <w:left w:val="none" w:sz="0" w:space="0" w:color="auto"/>
                    <w:bottom w:val="none" w:sz="0" w:space="0" w:color="auto"/>
                    <w:right w:val="none" w:sz="0" w:space="0" w:color="auto"/>
                  </w:divBdr>
                  <w:divsChild>
                    <w:div w:id="11501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61825">
      <w:bodyDiv w:val="1"/>
      <w:marLeft w:val="0"/>
      <w:marRight w:val="0"/>
      <w:marTop w:val="0"/>
      <w:marBottom w:val="0"/>
      <w:divBdr>
        <w:top w:val="none" w:sz="0" w:space="0" w:color="auto"/>
        <w:left w:val="none" w:sz="0" w:space="0" w:color="auto"/>
        <w:bottom w:val="none" w:sz="0" w:space="0" w:color="auto"/>
        <w:right w:val="none" w:sz="0" w:space="0" w:color="auto"/>
      </w:divBdr>
    </w:div>
    <w:div w:id="1655259336">
      <w:bodyDiv w:val="1"/>
      <w:marLeft w:val="0"/>
      <w:marRight w:val="0"/>
      <w:marTop w:val="0"/>
      <w:marBottom w:val="0"/>
      <w:divBdr>
        <w:top w:val="none" w:sz="0" w:space="0" w:color="auto"/>
        <w:left w:val="none" w:sz="0" w:space="0" w:color="auto"/>
        <w:bottom w:val="none" w:sz="0" w:space="0" w:color="auto"/>
        <w:right w:val="none" w:sz="0" w:space="0" w:color="auto"/>
      </w:divBdr>
    </w:div>
    <w:div w:id="1673219723">
      <w:bodyDiv w:val="1"/>
      <w:marLeft w:val="0"/>
      <w:marRight w:val="0"/>
      <w:marTop w:val="0"/>
      <w:marBottom w:val="0"/>
      <w:divBdr>
        <w:top w:val="none" w:sz="0" w:space="0" w:color="auto"/>
        <w:left w:val="none" w:sz="0" w:space="0" w:color="auto"/>
        <w:bottom w:val="none" w:sz="0" w:space="0" w:color="auto"/>
        <w:right w:val="none" w:sz="0" w:space="0" w:color="auto"/>
      </w:divBdr>
    </w:div>
    <w:div w:id="1691564170">
      <w:bodyDiv w:val="1"/>
      <w:marLeft w:val="0"/>
      <w:marRight w:val="0"/>
      <w:marTop w:val="0"/>
      <w:marBottom w:val="0"/>
      <w:divBdr>
        <w:top w:val="none" w:sz="0" w:space="0" w:color="auto"/>
        <w:left w:val="none" w:sz="0" w:space="0" w:color="auto"/>
        <w:bottom w:val="none" w:sz="0" w:space="0" w:color="auto"/>
        <w:right w:val="none" w:sz="0" w:space="0" w:color="auto"/>
      </w:divBdr>
    </w:div>
    <w:div w:id="1701930344">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5520725">
      <w:bodyDiv w:val="1"/>
      <w:marLeft w:val="0"/>
      <w:marRight w:val="0"/>
      <w:marTop w:val="0"/>
      <w:marBottom w:val="0"/>
      <w:divBdr>
        <w:top w:val="none" w:sz="0" w:space="0" w:color="auto"/>
        <w:left w:val="none" w:sz="0" w:space="0" w:color="auto"/>
        <w:bottom w:val="none" w:sz="0" w:space="0" w:color="auto"/>
        <w:right w:val="none" w:sz="0" w:space="0" w:color="auto"/>
      </w:divBdr>
    </w:div>
    <w:div w:id="1708681843">
      <w:bodyDiv w:val="1"/>
      <w:marLeft w:val="0"/>
      <w:marRight w:val="0"/>
      <w:marTop w:val="0"/>
      <w:marBottom w:val="0"/>
      <w:divBdr>
        <w:top w:val="none" w:sz="0" w:space="0" w:color="auto"/>
        <w:left w:val="none" w:sz="0" w:space="0" w:color="auto"/>
        <w:bottom w:val="none" w:sz="0" w:space="0" w:color="auto"/>
        <w:right w:val="none" w:sz="0" w:space="0" w:color="auto"/>
      </w:divBdr>
    </w:div>
    <w:div w:id="1719358571">
      <w:bodyDiv w:val="1"/>
      <w:marLeft w:val="0"/>
      <w:marRight w:val="0"/>
      <w:marTop w:val="0"/>
      <w:marBottom w:val="0"/>
      <w:divBdr>
        <w:top w:val="none" w:sz="0" w:space="0" w:color="auto"/>
        <w:left w:val="none" w:sz="0" w:space="0" w:color="auto"/>
        <w:bottom w:val="none" w:sz="0" w:space="0" w:color="auto"/>
        <w:right w:val="none" w:sz="0" w:space="0" w:color="auto"/>
      </w:divBdr>
    </w:div>
    <w:div w:id="1759210917">
      <w:bodyDiv w:val="1"/>
      <w:marLeft w:val="0"/>
      <w:marRight w:val="0"/>
      <w:marTop w:val="0"/>
      <w:marBottom w:val="0"/>
      <w:divBdr>
        <w:top w:val="none" w:sz="0" w:space="0" w:color="auto"/>
        <w:left w:val="none" w:sz="0" w:space="0" w:color="auto"/>
        <w:bottom w:val="none" w:sz="0" w:space="0" w:color="auto"/>
        <w:right w:val="none" w:sz="0" w:space="0" w:color="auto"/>
      </w:divBdr>
    </w:div>
    <w:div w:id="1762067206">
      <w:bodyDiv w:val="1"/>
      <w:marLeft w:val="0"/>
      <w:marRight w:val="0"/>
      <w:marTop w:val="0"/>
      <w:marBottom w:val="0"/>
      <w:divBdr>
        <w:top w:val="none" w:sz="0" w:space="0" w:color="auto"/>
        <w:left w:val="none" w:sz="0" w:space="0" w:color="auto"/>
        <w:bottom w:val="none" w:sz="0" w:space="0" w:color="auto"/>
        <w:right w:val="none" w:sz="0" w:space="0" w:color="auto"/>
      </w:divBdr>
    </w:div>
    <w:div w:id="1783379157">
      <w:bodyDiv w:val="1"/>
      <w:marLeft w:val="0"/>
      <w:marRight w:val="0"/>
      <w:marTop w:val="0"/>
      <w:marBottom w:val="0"/>
      <w:divBdr>
        <w:top w:val="none" w:sz="0" w:space="0" w:color="auto"/>
        <w:left w:val="none" w:sz="0" w:space="0" w:color="auto"/>
        <w:bottom w:val="none" w:sz="0" w:space="0" w:color="auto"/>
        <w:right w:val="none" w:sz="0" w:space="0" w:color="auto"/>
      </w:divBdr>
    </w:div>
    <w:div w:id="1789933099">
      <w:bodyDiv w:val="1"/>
      <w:marLeft w:val="0"/>
      <w:marRight w:val="0"/>
      <w:marTop w:val="0"/>
      <w:marBottom w:val="0"/>
      <w:divBdr>
        <w:top w:val="none" w:sz="0" w:space="0" w:color="auto"/>
        <w:left w:val="none" w:sz="0" w:space="0" w:color="auto"/>
        <w:bottom w:val="none" w:sz="0" w:space="0" w:color="auto"/>
        <w:right w:val="none" w:sz="0" w:space="0" w:color="auto"/>
      </w:divBdr>
    </w:div>
    <w:div w:id="1806846538">
      <w:bodyDiv w:val="1"/>
      <w:marLeft w:val="0"/>
      <w:marRight w:val="0"/>
      <w:marTop w:val="0"/>
      <w:marBottom w:val="0"/>
      <w:divBdr>
        <w:top w:val="none" w:sz="0" w:space="0" w:color="auto"/>
        <w:left w:val="none" w:sz="0" w:space="0" w:color="auto"/>
        <w:bottom w:val="none" w:sz="0" w:space="0" w:color="auto"/>
        <w:right w:val="none" w:sz="0" w:space="0" w:color="auto"/>
      </w:divBdr>
    </w:div>
    <w:div w:id="1809592070">
      <w:bodyDiv w:val="1"/>
      <w:marLeft w:val="0"/>
      <w:marRight w:val="0"/>
      <w:marTop w:val="0"/>
      <w:marBottom w:val="0"/>
      <w:divBdr>
        <w:top w:val="none" w:sz="0" w:space="0" w:color="auto"/>
        <w:left w:val="none" w:sz="0" w:space="0" w:color="auto"/>
        <w:bottom w:val="none" w:sz="0" w:space="0" w:color="auto"/>
        <w:right w:val="none" w:sz="0" w:space="0" w:color="auto"/>
      </w:divBdr>
    </w:div>
    <w:div w:id="1826357378">
      <w:bodyDiv w:val="1"/>
      <w:marLeft w:val="0"/>
      <w:marRight w:val="0"/>
      <w:marTop w:val="0"/>
      <w:marBottom w:val="0"/>
      <w:divBdr>
        <w:top w:val="none" w:sz="0" w:space="0" w:color="auto"/>
        <w:left w:val="none" w:sz="0" w:space="0" w:color="auto"/>
        <w:bottom w:val="none" w:sz="0" w:space="0" w:color="auto"/>
        <w:right w:val="none" w:sz="0" w:space="0" w:color="auto"/>
      </w:divBdr>
    </w:div>
    <w:div w:id="1849173692">
      <w:bodyDiv w:val="1"/>
      <w:marLeft w:val="0"/>
      <w:marRight w:val="0"/>
      <w:marTop w:val="0"/>
      <w:marBottom w:val="0"/>
      <w:divBdr>
        <w:top w:val="none" w:sz="0" w:space="0" w:color="auto"/>
        <w:left w:val="none" w:sz="0" w:space="0" w:color="auto"/>
        <w:bottom w:val="none" w:sz="0" w:space="0" w:color="auto"/>
        <w:right w:val="none" w:sz="0" w:space="0" w:color="auto"/>
      </w:divBdr>
    </w:div>
    <w:div w:id="1866097428">
      <w:bodyDiv w:val="1"/>
      <w:marLeft w:val="0"/>
      <w:marRight w:val="0"/>
      <w:marTop w:val="0"/>
      <w:marBottom w:val="0"/>
      <w:divBdr>
        <w:top w:val="none" w:sz="0" w:space="0" w:color="auto"/>
        <w:left w:val="none" w:sz="0" w:space="0" w:color="auto"/>
        <w:bottom w:val="none" w:sz="0" w:space="0" w:color="auto"/>
        <w:right w:val="none" w:sz="0" w:space="0" w:color="auto"/>
      </w:divBdr>
    </w:div>
    <w:div w:id="1887600445">
      <w:bodyDiv w:val="1"/>
      <w:marLeft w:val="0"/>
      <w:marRight w:val="0"/>
      <w:marTop w:val="0"/>
      <w:marBottom w:val="0"/>
      <w:divBdr>
        <w:top w:val="none" w:sz="0" w:space="0" w:color="auto"/>
        <w:left w:val="none" w:sz="0" w:space="0" w:color="auto"/>
        <w:bottom w:val="none" w:sz="0" w:space="0" w:color="auto"/>
        <w:right w:val="none" w:sz="0" w:space="0" w:color="auto"/>
      </w:divBdr>
    </w:div>
    <w:div w:id="1916477658">
      <w:bodyDiv w:val="1"/>
      <w:marLeft w:val="0"/>
      <w:marRight w:val="0"/>
      <w:marTop w:val="0"/>
      <w:marBottom w:val="0"/>
      <w:divBdr>
        <w:top w:val="none" w:sz="0" w:space="0" w:color="auto"/>
        <w:left w:val="none" w:sz="0" w:space="0" w:color="auto"/>
        <w:bottom w:val="none" w:sz="0" w:space="0" w:color="auto"/>
        <w:right w:val="none" w:sz="0" w:space="0" w:color="auto"/>
      </w:divBdr>
    </w:div>
    <w:div w:id="1939408695">
      <w:bodyDiv w:val="1"/>
      <w:marLeft w:val="0"/>
      <w:marRight w:val="0"/>
      <w:marTop w:val="0"/>
      <w:marBottom w:val="0"/>
      <w:divBdr>
        <w:top w:val="none" w:sz="0" w:space="0" w:color="auto"/>
        <w:left w:val="none" w:sz="0" w:space="0" w:color="auto"/>
        <w:bottom w:val="none" w:sz="0" w:space="0" w:color="auto"/>
        <w:right w:val="none" w:sz="0" w:space="0" w:color="auto"/>
      </w:divBdr>
    </w:div>
    <w:div w:id="1955748610">
      <w:bodyDiv w:val="1"/>
      <w:marLeft w:val="0"/>
      <w:marRight w:val="0"/>
      <w:marTop w:val="0"/>
      <w:marBottom w:val="0"/>
      <w:divBdr>
        <w:top w:val="none" w:sz="0" w:space="0" w:color="auto"/>
        <w:left w:val="none" w:sz="0" w:space="0" w:color="auto"/>
        <w:bottom w:val="none" w:sz="0" w:space="0" w:color="auto"/>
        <w:right w:val="none" w:sz="0" w:space="0" w:color="auto"/>
      </w:divBdr>
      <w:divsChild>
        <w:div w:id="1826236575">
          <w:marLeft w:val="0"/>
          <w:marRight w:val="0"/>
          <w:marTop w:val="0"/>
          <w:marBottom w:val="0"/>
          <w:divBdr>
            <w:top w:val="none" w:sz="0" w:space="0" w:color="auto"/>
            <w:left w:val="none" w:sz="0" w:space="0" w:color="auto"/>
            <w:bottom w:val="none" w:sz="0" w:space="0" w:color="auto"/>
            <w:right w:val="none" w:sz="0" w:space="0" w:color="auto"/>
          </w:divBdr>
          <w:divsChild>
            <w:div w:id="467430921">
              <w:marLeft w:val="0"/>
              <w:marRight w:val="0"/>
              <w:marTop w:val="0"/>
              <w:marBottom w:val="0"/>
              <w:divBdr>
                <w:top w:val="none" w:sz="0" w:space="0" w:color="auto"/>
                <w:left w:val="none" w:sz="0" w:space="0" w:color="auto"/>
                <w:bottom w:val="none" w:sz="0" w:space="0" w:color="auto"/>
                <w:right w:val="none" w:sz="0" w:space="0" w:color="auto"/>
              </w:divBdr>
              <w:divsChild>
                <w:div w:id="14434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8484">
      <w:bodyDiv w:val="1"/>
      <w:marLeft w:val="0"/>
      <w:marRight w:val="0"/>
      <w:marTop w:val="0"/>
      <w:marBottom w:val="0"/>
      <w:divBdr>
        <w:top w:val="none" w:sz="0" w:space="0" w:color="auto"/>
        <w:left w:val="none" w:sz="0" w:space="0" w:color="auto"/>
        <w:bottom w:val="none" w:sz="0" w:space="0" w:color="auto"/>
        <w:right w:val="none" w:sz="0" w:space="0" w:color="auto"/>
      </w:divBdr>
    </w:div>
    <w:div w:id="2003385582">
      <w:bodyDiv w:val="1"/>
      <w:marLeft w:val="0"/>
      <w:marRight w:val="0"/>
      <w:marTop w:val="0"/>
      <w:marBottom w:val="0"/>
      <w:divBdr>
        <w:top w:val="none" w:sz="0" w:space="0" w:color="auto"/>
        <w:left w:val="none" w:sz="0" w:space="0" w:color="auto"/>
        <w:bottom w:val="none" w:sz="0" w:space="0" w:color="auto"/>
        <w:right w:val="none" w:sz="0" w:space="0" w:color="auto"/>
      </w:divBdr>
    </w:div>
    <w:div w:id="2007399306">
      <w:bodyDiv w:val="1"/>
      <w:marLeft w:val="0"/>
      <w:marRight w:val="0"/>
      <w:marTop w:val="0"/>
      <w:marBottom w:val="0"/>
      <w:divBdr>
        <w:top w:val="none" w:sz="0" w:space="0" w:color="auto"/>
        <w:left w:val="none" w:sz="0" w:space="0" w:color="auto"/>
        <w:bottom w:val="none" w:sz="0" w:space="0" w:color="auto"/>
        <w:right w:val="none" w:sz="0" w:space="0" w:color="auto"/>
      </w:divBdr>
    </w:div>
    <w:div w:id="2022390212">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71731223">
      <w:bodyDiv w:val="1"/>
      <w:marLeft w:val="0"/>
      <w:marRight w:val="0"/>
      <w:marTop w:val="0"/>
      <w:marBottom w:val="0"/>
      <w:divBdr>
        <w:top w:val="none" w:sz="0" w:space="0" w:color="auto"/>
        <w:left w:val="none" w:sz="0" w:space="0" w:color="auto"/>
        <w:bottom w:val="none" w:sz="0" w:space="0" w:color="auto"/>
        <w:right w:val="none" w:sz="0" w:space="0" w:color="auto"/>
      </w:divBdr>
    </w:div>
    <w:div w:id="2072996408">
      <w:bodyDiv w:val="1"/>
      <w:marLeft w:val="0"/>
      <w:marRight w:val="0"/>
      <w:marTop w:val="0"/>
      <w:marBottom w:val="0"/>
      <w:divBdr>
        <w:top w:val="none" w:sz="0" w:space="0" w:color="auto"/>
        <w:left w:val="none" w:sz="0" w:space="0" w:color="auto"/>
        <w:bottom w:val="none" w:sz="0" w:space="0" w:color="auto"/>
        <w:right w:val="none" w:sz="0" w:space="0" w:color="auto"/>
      </w:divBdr>
    </w:div>
    <w:div w:id="2084985388">
      <w:bodyDiv w:val="1"/>
      <w:marLeft w:val="0"/>
      <w:marRight w:val="0"/>
      <w:marTop w:val="0"/>
      <w:marBottom w:val="0"/>
      <w:divBdr>
        <w:top w:val="none" w:sz="0" w:space="0" w:color="auto"/>
        <w:left w:val="none" w:sz="0" w:space="0" w:color="auto"/>
        <w:bottom w:val="none" w:sz="0" w:space="0" w:color="auto"/>
        <w:right w:val="none" w:sz="0" w:space="0" w:color="auto"/>
      </w:divBdr>
    </w:div>
    <w:div w:id="2099053436">
      <w:bodyDiv w:val="1"/>
      <w:marLeft w:val="0"/>
      <w:marRight w:val="0"/>
      <w:marTop w:val="0"/>
      <w:marBottom w:val="0"/>
      <w:divBdr>
        <w:top w:val="none" w:sz="0" w:space="0" w:color="auto"/>
        <w:left w:val="none" w:sz="0" w:space="0" w:color="auto"/>
        <w:bottom w:val="none" w:sz="0" w:space="0" w:color="auto"/>
        <w:right w:val="none" w:sz="0" w:space="0" w:color="auto"/>
      </w:divBdr>
    </w:div>
    <w:div w:id="2115400895">
      <w:bodyDiv w:val="1"/>
      <w:marLeft w:val="0"/>
      <w:marRight w:val="0"/>
      <w:marTop w:val="0"/>
      <w:marBottom w:val="0"/>
      <w:divBdr>
        <w:top w:val="none" w:sz="0" w:space="0" w:color="auto"/>
        <w:left w:val="none" w:sz="0" w:space="0" w:color="auto"/>
        <w:bottom w:val="none" w:sz="0" w:space="0" w:color="auto"/>
        <w:right w:val="none" w:sz="0" w:space="0" w:color="auto"/>
      </w:divBdr>
      <w:divsChild>
        <w:div w:id="2141800813">
          <w:marLeft w:val="0"/>
          <w:marRight w:val="0"/>
          <w:marTop w:val="0"/>
          <w:marBottom w:val="0"/>
          <w:divBdr>
            <w:top w:val="none" w:sz="0" w:space="0" w:color="auto"/>
            <w:left w:val="none" w:sz="0" w:space="0" w:color="auto"/>
            <w:bottom w:val="none" w:sz="0" w:space="0" w:color="auto"/>
            <w:right w:val="none" w:sz="0" w:space="0" w:color="auto"/>
          </w:divBdr>
          <w:divsChild>
            <w:div w:id="55587710">
              <w:marLeft w:val="0"/>
              <w:marRight w:val="0"/>
              <w:marTop w:val="0"/>
              <w:marBottom w:val="0"/>
              <w:divBdr>
                <w:top w:val="none" w:sz="0" w:space="0" w:color="auto"/>
                <w:left w:val="none" w:sz="0" w:space="0" w:color="auto"/>
                <w:bottom w:val="none" w:sz="0" w:space="0" w:color="auto"/>
                <w:right w:val="none" w:sz="0" w:space="0" w:color="auto"/>
              </w:divBdr>
              <w:divsChild>
                <w:div w:id="8818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ir.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81DC-F29B-4848-A8E3-FF03204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12009</Words>
  <Characters>68452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Mikheil Kekenadze</cp:lastModifiedBy>
  <cp:revision>27</cp:revision>
  <cp:lastPrinted>2020-02-19T07:40:00Z</cp:lastPrinted>
  <dcterms:created xsi:type="dcterms:W3CDTF">2020-09-21T07:38:00Z</dcterms:created>
  <dcterms:modified xsi:type="dcterms:W3CDTF">2020-09-21T11:33:00Z</dcterms:modified>
</cp:coreProperties>
</file>